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A3448" w14:textId="77777777" w:rsidR="00E21C7B" w:rsidRDefault="003339EE" w:rsidP="00452098">
      <w:pPr>
        <w:spacing w:before="63"/>
        <w:ind w:left="900"/>
        <w:rPr>
          <w:rFonts w:ascii="Arial" w:eastAsia="Arial" w:hAnsi="Arial" w:cs="Arial"/>
          <w:sz w:val="20"/>
          <w:szCs w:val="20"/>
        </w:rPr>
      </w:pPr>
      <w:r>
        <w:rPr>
          <w:rFonts w:ascii="Arial" w:hAnsi="Arial"/>
          <w:b/>
          <w:color w:val="FF0000"/>
          <w:sz w:val="20"/>
        </w:rPr>
        <w:t>Modelo de Carta de Necesidad por Motivos Médicos de REZUROCK</w:t>
      </w:r>
      <w:r w:rsidRPr="0075046B">
        <w:rPr>
          <w:rFonts w:ascii="Arial" w:hAnsi="Arial" w:cs="Arial"/>
          <w:b/>
          <w:color w:val="FF0000"/>
          <w:sz w:val="20"/>
          <w:szCs w:val="20"/>
          <w:vertAlign w:val="superscript"/>
        </w:rPr>
        <w:t>®</w:t>
      </w:r>
      <w:r>
        <w:rPr>
          <w:rFonts w:ascii="Arial" w:hAnsi="Arial"/>
          <w:b/>
          <w:color w:val="FF0000"/>
          <w:sz w:val="13"/>
        </w:rPr>
        <w:t xml:space="preserve"> </w:t>
      </w:r>
      <w:r>
        <w:rPr>
          <w:rFonts w:ascii="Arial" w:hAnsi="Arial"/>
          <w:b/>
          <w:color w:val="FF0000"/>
          <w:sz w:val="20"/>
        </w:rPr>
        <w:t>(belumosudil) en comprimidos</w:t>
      </w:r>
    </w:p>
    <w:p w14:paraId="068A3449" w14:textId="77777777" w:rsidR="00E21C7B" w:rsidRDefault="00E21C7B">
      <w:pPr>
        <w:spacing w:before="11"/>
        <w:rPr>
          <w:rFonts w:ascii="Arial" w:eastAsia="Arial" w:hAnsi="Arial" w:cs="Arial"/>
          <w:b/>
          <w:bCs/>
          <w:sz w:val="6"/>
          <w:szCs w:val="6"/>
        </w:rPr>
      </w:pPr>
    </w:p>
    <w:tbl>
      <w:tblPr>
        <w:tblW w:w="10863" w:type="dxa"/>
        <w:tblInd w:w="117" w:type="dxa"/>
        <w:tblLayout w:type="fixed"/>
        <w:tblCellMar>
          <w:left w:w="0" w:type="dxa"/>
          <w:right w:w="0" w:type="dxa"/>
        </w:tblCellMar>
        <w:tblLook w:val="01E0" w:firstRow="1" w:lastRow="1" w:firstColumn="1" w:lastColumn="1" w:noHBand="0" w:noVBand="0"/>
      </w:tblPr>
      <w:tblGrid>
        <w:gridCol w:w="2872"/>
        <w:gridCol w:w="1913"/>
        <w:gridCol w:w="6078"/>
      </w:tblGrid>
      <w:tr w:rsidR="00E21C7B" w14:paraId="068A344B" w14:textId="77777777" w:rsidTr="00452098">
        <w:trPr>
          <w:trHeight w:hRule="exact" w:val="332"/>
        </w:trPr>
        <w:tc>
          <w:tcPr>
            <w:tcW w:w="10863" w:type="dxa"/>
            <w:gridSpan w:val="3"/>
            <w:tcBorders>
              <w:top w:val="nil"/>
              <w:left w:val="nil"/>
              <w:bottom w:val="single" w:sz="5" w:space="0" w:color="000000"/>
              <w:right w:val="nil"/>
            </w:tcBorders>
          </w:tcPr>
          <w:p w14:paraId="068A344A" w14:textId="77777777" w:rsidR="00E21C7B" w:rsidRDefault="003339EE" w:rsidP="00452098">
            <w:pPr>
              <w:pStyle w:val="TableParagraph"/>
              <w:spacing w:before="34"/>
              <w:ind w:right="510"/>
              <w:jc w:val="right"/>
              <w:rPr>
                <w:rFonts w:ascii="Arial" w:eastAsia="Arial" w:hAnsi="Arial" w:cs="Arial"/>
                <w:sz w:val="20"/>
                <w:szCs w:val="20"/>
              </w:rPr>
            </w:pPr>
            <w:r>
              <w:rPr>
                <w:rFonts w:ascii="Arial"/>
                <w:b/>
                <w:i/>
                <w:color w:val="FF0000"/>
                <w:sz w:val="20"/>
              </w:rPr>
              <w:t>[Membrete del M</w:t>
            </w:r>
            <w:r>
              <w:rPr>
                <w:rFonts w:ascii="Arial"/>
                <w:b/>
                <w:i/>
                <w:color w:val="FF0000"/>
                <w:sz w:val="20"/>
              </w:rPr>
              <w:t>é</w:t>
            </w:r>
            <w:r>
              <w:rPr>
                <w:rFonts w:ascii="Arial"/>
                <w:b/>
                <w:i/>
                <w:color w:val="FF0000"/>
                <w:sz w:val="20"/>
              </w:rPr>
              <w:t>dico/Consultorio]</w:t>
            </w:r>
          </w:p>
        </w:tc>
      </w:tr>
      <w:tr w:rsidR="00E21C7B" w:rsidRPr="005841DF" w14:paraId="068A344E" w14:textId="77777777" w:rsidTr="00452098">
        <w:trPr>
          <w:trHeight w:hRule="exact" w:val="651"/>
        </w:trPr>
        <w:tc>
          <w:tcPr>
            <w:tcW w:w="10863" w:type="dxa"/>
            <w:gridSpan w:val="3"/>
            <w:tcBorders>
              <w:top w:val="single" w:sz="5" w:space="0" w:color="000000"/>
              <w:left w:val="nil"/>
              <w:bottom w:val="nil"/>
              <w:right w:val="nil"/>
            </w:tcBorders>
          </w:tcPr>
          <w:p w14:paraId="068A344C" w14:textId="77777777" w:rsidR="00E21C7B" w:rsidRPr="005841DF" w:rsidRDefault="00E21C7B">
            <w:pPr>
              <w:pStyle w:val="TableParagraph"/>
              <w:spacing w:before="1"/>
              <w:rPr>
                <w:rFonts w:ascii="Arial" w:eastAsia="Arial" w:hAnsi="Arial" w:cs="Arial"/>
                <w:b/>
                <w:bCs/>
                <w:sz w:val="20"/>
                <w:szCs w:val="20"/>
              </w:rPr>
            </w:pPr>
          </w:p>
          <w:p w14:paraId="068A344D" w14:textId="77777777" w:rsidR="00E21C7B" w:rsidRPr="005841DF" w:rsidRDefault="003339EE">
            <w:pPr>
              <w:pStyle w:val="TableParagraph"/>
              <w:ind w:left="30"/>
              <w:rPr>
                <w:rFonts w:ascii="Arial" w:eastAsia="Arial" w:hAnsi="Arial" w:cs="Arial"/>
                <w:sz w:val="20"/>
                <w:szCs w:val="20"/>
              </w:rPr>
            </w:pPr>
            <w:r>
              <w:rPr>
                <w:rFonts w:ascii="Arial" w:hAnsi="Arial"/>
                <w:color w:val="FF0000"/>
                <w:sz w:val="20"/>
              </w:rPr>
              <w:t>[Fecha]</w:t>
            </w:r>
          </w:p>
        </w:tc>
      </w:tr>
      <w:tr w:rsidR="00E21C7B" w:rsidRPr="005841DF" w14:paraId="068A3456" w14:textId="77777777" w:rsidTr="00452098">
        <w:trPr>
          <w:trHeight w:hRule="exact" w:val="1953"/>
        </w:trPr>
        <w:tc>
          <w:tcPr>
            <w:tcW w:w="2872" w:type="dxa"/>
            <w:tcBorders>
              <w:top w:val="nil"/>
              <w:left w:val="nil"/>
              <w:bottom w:val="nil"/>
              <w:right w:val="nil"/>
            </w:tcBorders>
          </w:tcPr>
          <w:p w14:paraId="068A344F" w14:textId="77777777" w:rsidR="00E21C7B" w:rsidRPr="005841DF" w:rsidRDefault="003339EE">
            <w:pPr>
              <w:pStyle w:val="TableParagraph"/>
              <w:spacing w:before="102"/>
              <w:ind w:left="30"/>
              <w:rPr>
                <w:rFonts w:ascii="Arial" w:eastAsia="Arial" w:hAnsi="Arial" w:cs="Arial"/>
                <w:sz w:val="20"/>
                <w:szCs w:val="20"/>
              </w:rPr>
            </w:pPr>
            <w:r>
              <w:rPr>
                <w:rFonts w:ascii="Arial" w:hAnsi="Arial"/>
                <w:color w:val="FF0000"/>
                <w:sz w:val="20"/>
              </w:rPr>
              <w:t>[Nombre del Pagador]</w:t>
            </w:r>
          </w:p>
          <w:p w14:paraId="068A3450" w14:textId="77777777" w:rsidR="00E21C7B" w:rsidRPr="005841DF" w:rsidRDefault="003339EE" w:rsidP="00452098">
            <w:pPr>
              <w:pStyle w:val="TableParagraph"/>
              <w:spacing w:before="4"/>
              <w:ind w:left="30" w:right="-90" w:hanging="2"/>
              <w:rPr>
                <w:rFonts w:ascii="Arial" w:eastAsia="Arial" w:hAnsi="Arial" w:cs="Arial"/>
                <w:sz w:val="20"/>
                <w:szCs w:val="20"/>
              </w:rPr>
            </w:pPr>
            <w:r>
              <w:rPr>
                <w:rFonts w:ascii="Arial" w:hAnsi="Arial"/>
                <w:color w:val="FF0000"/>
                <w:sz w:val="20"/>
              </w:rPr>
              <w:t>[Representante del Pagador] [Dirección del Pagador]</w:t>
            </w:r>
          </w:p>
          <w:p w14:paraId="068A3451" w14:textId="77777777" w:rsidR="00E21C7B" w:rsidRPr="005841DF" w:rsidRDefault="003339EE" w:rsidP="00452098">
            <w:pPr>
              <w:pStyle w:val="TableParagraph"/>
              <w:ind w:left="31" w:right="-180" w:hanging="2"/>
              <w:rPr>
                <w:rFonts w:ascii="Arial" w:eastAsia="Arial" w:hAnsi="Arial" w:cs="Arial"/>
                <w:sz w:val="20"/>
                <w:szCs w:val="20"/>
              </w:rPr>
            </w:pPr>
            <w:r>
              <w:rPr>
                <w:rFonts w:ascii="Arial" w:hAnsi="Arial"/>
                <w:color w:val="FF0000"/>
                <w:sz w:val="20"/>
              </w:rPr>
              <w:t>[Ciudad, Estado, Código Postal] [Número de Fax del Pagador]</w:t>
            </w:r>
          </w:p>
        </w:tc>
        <w:tc>
          <w:tcPr>
            <w:tcW w:w="1913" w:type="dxa"/>
            <w:tcBorders>
              <w:top w:val="nil"/>
              <w:left w:val="nil"/>
              <w:bottom w:val="nil"/>
              <w:right w:val="nil"/>
            </w:tcBorders>
          </w:tcPr>
          <w:p w14:paraId="068A3452" w14:textId="77777777" w:rsidR="00E21C7B" w:rsidRPr="005841DF" w:rsidRDefault="003339EE">
            <w:pPr>
              <w:pStyle w:val="TableParagraph"/>
              <w:spacing w:before="106"/>
              <w:ind w:left="783"/>
              <w:rPr>
                <w:rFonts w:ascii="Arial" w:eastAsia="Arial" w:hAnsi="Arial" w:cs="Arial"/>
                <w:sz w:val="20"/>
                <w:szCs w:val="20"/>
              </w:rPr>
            </w:pPr>
            <w:r>
              <w:rPr>
                <w:rFonts w:ascii="Arial" w:hAnsi="Arial"/>
                <w:sz w:val="20"/>
              </w:rPr>
              <w:t>ASUNTO:</w:t>
            </w:r>
          </w:p>
        </w:tc>
        <w:tc>
          <w:tcPr>
            <w:tcW w:w="6078" w:type="dxa"/>
            <w:tcBorders>
              <w:top w:val="nil"/>
              <w:left w:val="nil"/>
              <w:bottom w:val="nil"/>
              <w:right w:val="nil"/>
            </w:tcBorders>
          </w:tcPr>
          <w:p w14:paraId="5B538C82" w14:textId="77777777" w:rsidR="00452098" w:rsidRDefault="003339EE" w:rsidP="00452098">
            <w:pPr>
              <w:pStyle w:val="TableParagraph"/>
              <w:spacing w:before="106"/>
              <w:ind w:left="1125" w:right="720" w:hanging="934"/>
              <w:rPr>
                <w:rFonts w:ascii="Arial" w:hAnsi="Arial"/>
                <w:sz w:val="20"/>
              </w:rPr>
            </w:pPr>
            <w:r>
              <w:rPr>
                <w:rFonts w:ascii="Arial" w:hAnsi="Arial"/>
                <w:sz w:val="20"/>
              </w:rPr>
              <w:t xml:space="preserve">Cobertura de REZUROCK (belumosudil) </w:t>
            </w:r>
          </w:p>
          <w:p w14:paraId="068A3453" w14:textId="04D43074" w:rsidR="00E21C7B" w:rsidRPr="005841DF" w:rsidRDefault="003339EE" w:rsidP="00452098">
            <w:pPr>
              <w:pStyle w:val="TableParagraph"/>
              <w:spacing w:before="106"/>
              <w:ind w:left="1530" w:right="720" w:hanging="722"/>
              <w:rPr>
                <w:rFonts w:ascii="Arial" w:eastAsia="Arial" w:hAnsi="Arial" w:cs="Arial"/>
                <w:sz w:val="20"/>
                <w:szCs w:val="20"/>
              </w:rPr>
            </w:pPr>
            <w:r>
              <w:rPr>
                <w:rFonts w:ascii="Arial" w:hAnsi="Arial"/>
                <w:color w:val="FF0000"/>
                <w:sz w:val="20"/>
              </w:rPr>
              <w:t>[Nombre del Paciente]</w:t>
            </w:r>
          </w:p>
          <w:p w14:paraId="068A3454" w14:textId="77777777" w:rsidR="00E21C7B" w:rsidRPr="005841DF" w:rsidRDefault="003339EE" w:rsidP="00452098">
            <w:pPr>
              <w:pStyle w:val="TableParagraph"/>
              <w:spacing w:line="226" w:lineRule="exact"/>
              <w:ind w:left="810"/>
              <w:rPr>
                <w:rFonts w:ascii="Arial" w:eastAsia="Arial" w:hAnsi="Arial" w:cs="Arial"/>
                <w:sz w:val="20"/>
                <w:szCs w:val="20"/>
              </w:rPr>
            </w:pPr>
            <w:r>
              <w:rPr>
                <w:rFonts w:ascii="Arial" w:hAnsi="Arial"/>
                <w:color w:val="FF0000"/>
                <w:sz w:val="20"/>
              </w:rPr>
              <w:t>[Número de Póliza]</w:t>
            </w:r>
          </w:p>
          <w:p w14:paraId="4161612D"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[Número de Grupo] </w:t>
            </w:r>
          </w:p>
          <w:p w14:paraId="722ACBBD"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[Fecha de Nacimiento del Paciente] </w:t>
            </w:r>
          </w:p>
          <w:p w14:paraId="47F569B9" w14:textId="77777777" w:rsidR="00452098" w:rsidRDefault="003339EE" w:rsidP="00452098">
            <w:pPr>
              <w:pStyle w:val="TableParagraph"/>
              <w:spacing w:before="9" w:line="233" w:lineRule="auto"/>
              <w:ind w:left="810" w:right="1665" w:hanging="2"/>
              <w:rPr>
                <w:rFonts w:ascii="Arial" w:hAnsi="Arial"/>
                <w:color w:val="FF0000"/>
                <w:sz w:val="20"/>
              </w:rPr>
            </w:pPr>
            <w:r>
              <w:rPr>
                <w:rFonts w:ascii="Arial" w:hAnsi="Arial"/>
                <w:color w:val="FF0000"/>
                <w:sz w:val="20"/>
              </w:rPr>
              <w:t xml:space="preserve">[Edad del Paciente] </w:t>
            </w:r>
          </w:p>
          <w:p w14:paraId="068A3455" w14:textId="6ED6F802" w:rsidR="00E21C7B" w:rsidRPr="005841DF" w:rsidRDefault="003339EE" w:rsidP="00452098">
            <w:pPr>
              <w:pStyle w:val="TableParagraph"/>
              <w:spacing w:before="9" w:line="233" w:lineRule="auto"/>
              <w:ind w:left="810" w:right="1665" w:hanging="2"/>
              <w:rPr>
                <w:rFonts w:ascii="Arial" w:eastAsia="Arial" w:hAnsi="Arial" w:cs="Arial"/>
                <w:sz w:val="20"/>
                <w:szCs w:val="20"/>
              </w:rPr>
            </w:pPr>
            <w:r>
              <w:rPr>
                <w:rFonts w:ascii="Arial" w:hAnsi="Arial"/>
                <w:color w:val="FF0000"/>
                <w:sz w:val="20"/>
              </w:rPr>
              <w:t>[Sexo del Paciente]</w:t>
            </w:r>
          </w:p>
        </w:tc>
      </w:tr>
    </w:tbl>
    <w:p w14:paraId="068A3457" w14:textId="77777777" w:rsidR="00E21C7B" w:rsidRPr="005841DF" w:rsidRDefault="00E21C7B">
      <w:pPr>
        <w:spacing w:before="3"/>
        <w:rPr>
          <w:rFonts w:ascii="Arial" w:eastAsia="Arial" w:hAnsi="Arial" w:cs="Arial"/>
          <w:b/>
          <w:bCs/>
          <w:sz w:val="10"/>
          <w:szCs w:val="10"/>
        </w:rPr>
      </w:pPr>
    </w:p>
    <w:p w14:paraId="597A07FE" w14:textId="58A91605" w:rsidR="0024327D" w:rsidRDefault="003339EE" w:rsidP="0075046B">
      <w:pPr>
        <w:spacing w:before="74" w:line="480" w:lineRule="auto"/>
        <w:ind w:left="142" w:right="3880"/>
        <w:rPr>
          <w:rFonts w:ascii="Arial" w:hAnsi="Arial" w:cs="Arial"/>
          <w:color w:val="FF0000"/>
          <w:spacing w:val="81"/>
          <w:sz w:val="20"/>
        </w:rPr>
      </w:pPr>
      <w:r>
        <w:rPr>
          <w:rFonts w:ascii="Arial" w:hAnsi="Arial"/>
          <w:sz w:val="20"/>
        </w:rPr>
        <w:t xml:space="preserve">Atención: </w:t>
      </w:r>
      <w:r>
        <w:rPr>
          <w:rFonts w:ascii="Arial" w:hAnsi="Arial"/>
          <w:color w:val="FF0000"/>
          <w:sz w:val="20"/>
        </w:rPr>
        <w:t>[Director Médico/Farmacéutico],</w:t>
      </w:r>
      <w:r w:rsidR="0075046B">
        <w:rPr>
          <w:rFonts w:ascii="Arial" w:hAnsi="Arial"/>
          <w:color w:val="FF0000"/>
          <w:sz w:val="20"/>
        </w:rPr>
        <w:t xml:space="preserve"> </w:t>
      </w:r>
      <w:r>
        <w:rPr>
          <w:rFonts w:ascii="Arial" w:hAnsi="Arial"/>
          <w:color w:val="FF0000"/>
          <w:sz w:val="20"/>
        </w:rPr>
        <w:t>Departamento]</w:t>
      </w:r>
    </w:p>
    <w:p w14:paraId="068A3458" w14:textId="4DA54CA4" w:rsidR="00E21C7B" w:rsidRPr="005841DF" w:rsidRDefault="003339EE">
      <w:pPr>
        <w:spacing w:before="74" w:line="480" w:lineRule="auto"/>
        <w:ind w:left="142" w:right="5898"/>
        <w:rPr>
          <w:rFonts w:ascii="Arial" w:eastAsia="Arial" w:hAnsi="Arial" w:cs="Arial"/>
          <w:sz w:val="20"/>
          <w:szCs w:val="20"/>
        </w:rPr>
      </w:pPr>
      <w:r>
        <w:rPr>
          <w:rFonts w:ascii="Arial" w:hAnsi="Arial"/>
          <w:sz w:val="20"/>
        </w:rPr>
        <w:t xml:space="preserve">Estimado </w:t>
      </w:r>
      <w:r>
        <w:rPr>
          <w:rFonts w:ascii="Arial" w:hAnsi="Arial"/>
          <w:color w:val="FF0000"/>
          <w:sz w:val="20"/>
        </w:rPr>
        <w:t>[Director Médico/Farmacéutico]</w:t>
      </w:r>
      <w:r>
        <w:rPr>
          <w:rFonts w:ascii="Arial" w:hAnsi="Arial"/>
          <w:sz w:val="20"/>
        </w:rPr>
        <w:t>:</w:t>
      </w:r>
    </w:p>
    <w:p w14:paraId="068A3459" w14:textId="77777777" w:rsidR="00E21C7B" w:rsidRPr="0024327D" w:rsidRDefault="003339EE">
      <w:pPr>
        <w:spacing w:before="2"/>
        <w:ind w:left="138" w:right="396"/>
        <w:rPr>
          <w:rFonts w:ascii="Arial" w:eastAsia="Arial" w:hAnsi="Arial" w:cs="Arial"/>
          <w:sz w:val="20"/>
          <w:szCs w:val="20"/>
        </w:rPr>
      </w:pPr>
      <w:r>
        <w:rPr>
          <w:rFonts w:ascii="Arial" w:hAnsi="Arial"/>
          <w:sz w:val="20"/>
        </w:rPr>
        <w:t>Me dirijo a usted para documentar la necesidad, por motivos médicos, de REZUROCK</w:t>
      </w:r>
      <w:r w:rsidRPr="0075046B">
        <w:rPr>
          <w:rFonts w:ascii="Arial" w:hAnsi="Arial" w:cs="Arial"/>
          <w:sz w:val="20"/>
          <w:szCs w:val="20"/>
          <w:vertAlign w:val="superscript"/>
        </w:rPr>
        <w:t xml:space="preserve">® </w:t>
      </w:r>
      <w:r>
        <w:rPr>
          <w:rFonts w:ascii="Arial" w:hAnsi="Arial"/>
          <w:sz w:val="20"/>
        </w:rPr>
        <w:t xml:space="preserve">(belumosudil) en comprimidos, que receté a mi paciente, </w:t>
      </w:r>
      <w:r>
        <w:rPr>
          <w:rFonts w:ascii="Arial" w:hAnsi="Arial"/>
          <w:color w:val="FF0000"/>
          <w:sz w:val="20"/>
        </w:rPr>
        <w:t>[Nombre del Paciente], [Número de Póliza]</w:t>
      </w:r>
      <w:r>
        <w:rPr>
          <w:rFonts w:ascii="Arial" w:hAnsi="Arial"/>
          <w:sz w:val="20"/>
        </w:rPr>
        <w:t>.</w:t>
      </w:r>
    </w:p>
    <w:p w14:paraId="068A345A" w14:textId="77777777" w:rsidR="00E21C7B" w:rsidRPr="0024327D" w:rsidRDefault="00E21C7B">
      <w:pPr>
        <w:spacing w:before="3"/>
        <w:rPr>
          <w:rFonts w:ascii="Arial" w:eastAsia="Arial" w:hAnsi="Arial" w:cs="Arial"/>
          <w:sz w:val="17"/>
          <w:szCs w:val="17"/>
        </w:rPr>
      </w:pPr>
    </w:p>
    <w:p w14:paraId="068A345B" w14:textId="77777777" w:rsidR="00E21C7B" w:rsidRPr="0024327D" w:rsidRDefault="003339EE">
      <w:pPr>
        <w:ind w:left="138" w:right="861"/>
        <w:rPr>
          <w:rFonts w:ascii="Arial" w:eastAsia="Arial" w:hAnsi="Arial" w:cs="Arial"/>
          <w:sz w:val="20"/>
          <w:szCs w:val="20"/>
        </w:rPr>
      </w:pPr>
      <w:r>
        <w:rPr>
          <w:rFonts w:ascii="Arial" w:hAnsi="Arial"/>
          <w:sz w:val="20"/>
        </w:rPr>
        <w:t>REZUROCK está indicado para el tratamiento de pacientes adultos y pediátricos de 12 años de edad o más con enfermedad de injerto contra huésped crónica (EICH crónica) tras el fracaso de, al menos, dos líneas previas de tratamiento sistémico.</w:t>
      </w:r>
    </w:p>
    <w:p w14:paraId="068A345C" w14:textId="77777777" w:rsidR="00E21C7B" w:rsidRPr="005841DF" w:rsidRDefault="00E21C7B">
      <w:pPr>
        <w:spacing w:before="6"/>
        <w:rPr>
          <w:rFonts w:ascii="Arial" w:eastAsia="Arial" w:hAnsi="Arial" w:cs="Arial"/>
          <w:sz w:val="17"/>
          <w:szCs w:val="17"/>
        </w:rPr>
      </w:pPr>
    </w:p>
    <w:p w14:paraId="068A345D" w14:textId="71056F14" w:rsidR="00E21C7B" w:rsidRPr="005841DF" w:rsidRDefault="003339EE">
      <w:pPr>
        <w:ind w:left="138"/>
        <w:rPr>
          <w:rFonts w:ascii="Arial" w:eastAsia="Arial" w:hAnsi="Arial" w:cs="Arial"/>
          <w:sz w:val="21"/>
          <w:szCs w:val="21"/>
        </w:rPr>
      </w:pPr>
      <w:r>
        <w:rPr>
          <w:rFonts w:ascii="Arial" w:hAnsi="Arial"/>
          <w:b/>
          <w:sz w:val="21"/>
        </w:rPr>
        <w:t xml:space="preserve">Haga clic </w:t>
      </w:r>
      <w:r w:rsidRPr="00026757">
        <w:rPr>
          <w:rFonts w:ascii="Arial" w:hAnsi="Arial"/>
          <w:b/>
          <w:sz w:val="21"/>
        </w:rPr>
        <w:t xml:space="preserve">aquí </w:t>
      </w:r>
      <w:r>
        <w:rPr>
          <w:rFonts w:ascii="Arial" w:hAnsi="Arial"/>
          <w:b/>
          <w:sz w:val="21"/>
        </w:rPr>
        <w:t>para ver la Información de Prescripción completa.</w:t>
      </w:r>
      <w:r w:rsidR="00026757">
        <w:rPr>
          <w:rFonts w:ascii="Arial" w:hAnsi="Arial"/>
          <w:b/>
          <w:sz w:val="21"/>
        </w:rPr>
        <w:t xml:space="preserve"> </w:t>
      </w:r>
      <w:hyperlink r:id="rId6" w:history="1">
        <w:r w:rsidR="00026757" w:rsidRPr="00026757">
          <w:rPr>
            <w:rStyle w:val="Hyperlink"/>
            <w:rFonts w:ascii="Arial" w:eastAsia="Arial" w:hAnsi="Arial"/>
            <w:b/>
            <w:bCs/>
            <w:sz w:val="20"/>
          </w:rPr>
          <w:t>Inglés</w:t>
        </w:r>
      </w:hyperlink>
      <w:r w:rsidR="00026757" w:rsidRPr="00026757">
        <w:rPr>
          <w:rStyle w:val="Hyperlink"/>
          <w:rFonts w:ascii="Arial" w:eastAsia="Arial" w:hAnsi="Arial"/>
          <w:b/>
          <w:bCs/>
          <w:u w:val="none"/>
        </w:rPr>
        <w:t xml:space="preserve"> </w:t>
      </w:r>
      <w:hyperlink r:id="rId7" w:history="1">
        <w:r w:rsidR="00026757" w:rsidRPr="00026757">
          <w:rPr>
            <w:rStyle w:val="Hyperlink"/>
            <w:rFonts w:ascii="Arial" w:eastAsia="Arial" w:hAnsi="Arial"/>
            <w:b/>
            <w:bCs/>
            <w:sz w:val="20"/>
          </w:rPr>
          <w:t>Español</w:t>
        </w:r>
      </w:hyperlink>
    </w:p>
    <w:p w14:paraId="068A345E" w14:textId="77777777" w:rsidR="00E21C7B" w:rsidRPr="005841DF" w:rsidRDefault="003339EE">
      <w:pPr>
        <w:spacing w:before="111"/>
        <w:ind w:left="140"/>
        <w:rPr>
          <w:rFonts w:ascii="Arial" w:eastAsia="Arial" w:hAnsi="Arial" w:cs="Arial"/>
          <w:sz w:val="20"/>
          <w:szCs w:val="20"/>
        </w:rPr>
      </w:pPr>
      <w:r>
        <w:rPr>
          <w:rFonts w:ascii="Arial" w:hAnsi="Arial"/>
          <w:sz w:val="20"/>
        </w:rPr>
        <w:t xml:space="preserve">Los antecedentes médicos y la evolución del tratamiento de </w:t>
      </w:r>
      <w:r>
        <w:rPr>
          <w:rFonts w:ascii="Arial" w:hAnsi="Arial"/>
          <w:color w:val="FF0000"/>
          <w:sz w:val="20"/>
        </w:rPr>
        <w:t>[Nombre del Paciente]</w:t>
      </w:r>
      <w:r>
        <w:rPr>
          <w:rFonts w:ascii="Arial" w:hAnsi="Arial"/>
          <w:sz w:val="20"/>
        </w:rPr>
        <w:t xml:space="preserve"> son los siguientes:</w:t>
      </w:r>
    </w:p>
    <w:p w14:paraId="068A345F" w14:textId="77777777" w:rsidR="00E21C7B" w:rsidRPr="005841DF" w:rsidRDefault="00E21C7B">
      <w:pPr>
        <w:rPr>
          <w:rFonts w:ascii="Arial" w:eastAsia="Arial" w:hAnsi="Arial" w:cs="Arial"/>
          <w:sz w:val="16"/>
          <w:szCs w:val="16"/>
        </w:rPr>
      </w:pPr>
    </w:p>
    <w:p w14:paraId="068A3460" w14:textId="77777777" w:rsidR="00E21C7B" w:rsidRPr="005841DF" w:rsidRDefault="003339EE">
      <w:pPr>
        <w:numPr>
          <w:ilvl w:val="0"/>
          <w:numId w:val="1"/>
        </w:numPr>
        <w:tabs>
          <w:tab w:val="left" w:pos="859"/>
        </w:tabs>
        <w:spacing w:line="228" w:lineRule="exact"/>
        <w:ind w:right="396"/>
        <w:rPr>
          <w:rFonts w:ascii="Arial" w:eastAsia="Arial" w:hAnsi="Arial" w:cs="Arial"/>
          <w:sz w:val="20"/>
          <w:szCs w:val="20"/>
        </w:rPr>
      </w:pPr>
      <w:r>
        <w:rPr>
          <w:rFonts w:ascii="Arial" w:hAnsi="Arial"/>
          <w:color w:val="FF0000"/>
          <w:sz w:val="20"/>
        </w:rPr>
        <w:t>[Describir los antecedentes, el diagnóstico, las pautas de tratamiento anteriores y actuales y sus resultados, la discapacidad física, etc., del paciente]</w:t>
      </w:r>
    </w:p>
    <w:p w14:paraId="068A3461" w14:textId="77777777" w:rsidR="00E21C7B" w:rsidRPr="005841DF" w:rsidRDefault="00E21C7B">
      <w:pPr>
        <w:spacing w:before="10"/>
        <w:rPr>
          <w:rFonts w:ascii="Arial" w:eastAsia="Arial" w:hAnsi="Arial" w:cs="Arial"/>
          <w:sz w:val="19"/>
          <w:szCs w:val="19"/>
        </w:rPr>
      </w:pPr>
    </w:p>
    <w:p w14:paraId="068A3462" w14:textId="77777777" w:rsidR="00E21C7B" w:rsidRPr="005841DF" w:rsidRDefault="003339EE">
      <w:pPr>
        <w:ind w:left="138"/>
        <w:rPr>
          <w:rFonts w:ascii="Arial" w:eastAsia="Arial" w:hAnsi="Arial" w:cs="Arial"/>
          <w:sz w:val="20"/>
          <w:szCs w:val="20"/>
        </w:rPr>
      </w:pPr>
      <w:r>
        <w:rPr>
          <w:rFonts w:ascii="Arial" w:hAnsi="Arial"/>
          <w:sz w:val="20"/>
        </w:rPr>
        <w:t xml:space="preserve">En mi opinión clínica, </w:t>
      </w:r>
      <w:r>
        <w:rPr>
          <w:rFonts w:ascii="Arial" w:hAnsi="Arial"/>
          <w:color w:val="FF0000"/>
          <w:sz w:val="20"/>
        </w:rPr>
        <w:t xml:space="preserve">[Nombre del Paciente] </w:t>
      </w:r>
      <w:r>
        <w:rPr>
          <w:rFonts w:ascii="Arial" w:hAnsi="Arial"/>
          <w:sz w:val="20"/>
        </w:rPr>
        <w:t>debería recibir REZUROCK por los siguientes motivos:</w:t>
      </w:r>
    </w:p>
    <w:p w14:paraId="068A3463" w14:textId="77777777" w:rsidR="00E21C7B" w:rsidRPr="005841DF" w:rsidRDefault="00E21C7B">
      <w:pPr>
        <w:spacing w:before="11"/>
        <w:rPr>
          <w:rFonts w:ascii="Arial" w:eastAsia="Arial" w:hAnsi="Arial" w:cs="Arial"/>
          <w:sz w:val="19"/>
          <w:szCs w:val="19"/>
        </w:rPr>
      </w:pPr>
    </w:p>
    <w:p w14:paraId="068A3464" w14:textId="77777777" w:rsidR="00E21C7B" w:rsidRPr="005841DF" w:rsidRDefault="003339EE">
      <w:pPr>
        <w:numPr>
          <w:ilvl w:val="0"/>
          <w:numId w:val="1"/>
        </w:numPr>
        <w:tabs>
          <w:tab w:val="left" w:pos="859"/>
        </w:tabs>
        <w:ind w:hanging="361"/>
        <w:rPr>
          <w:rFonts w:ascii="Arial" w:eastAsia="Arial" w:hAnsi="Arial" w:cs="Arial"/>
          <w:sz w:val="20"/>
          <w:szCs w:val="20"/>
        </w:rPr>
      </w:pPr>
      <w:r>
        <w:rPr>
          <w:rFonts w:ascii="Arial" w:hAnsi="Arial"/>
          <w:color w:val="FF0000"/>
          <w:sz w:val="20"/>
        </w:rPr>
        <w:t>[Proporcionar la justificación clínica para el tratamiento con REZUROCK]</w:t>
      </w:r>
    </w:p>
    <w:p w14:paraId="068A3465" w14:textId="77777777" w:rsidR="00E21C7B" w:rsidRPr="005841DF" w:rsidRDefault="00E21C7B">
      <w:pPr>
        <w:spacing w:before="8"/>
        <w:rPr>
          <w:rFonts w:ascii="Arial" w:eastAsia="Arial" w:hAnsi="Arial" w:cs="Arial"/>
          <w:sz w:val="19"/>
          <w:szCs w:val="19"/>
        </w:rPr>
      </w:pPr>
    </w:p>
    <w:p w14:paraId="068A3466" w14:textId="77777777" w:rsidR="00E21C7B" w:rsidRPr="005841DF" w:rsidRDefault="003339EE">
      <w:pPr>
        <w:ind w:left="138" w:right="396"/>
        <w:rPr>
          <w:rFonts w:ascii="Arial" w:eastAsia="Arial" w:hAnsi="Arial" w:cs="Arial"/>
          <w:sz w:val="20"/>
          <w:szCs w:val="20"/>
        </w:rPr>
      </w:pPr>
      <w:r>
        <w:rPr>
          <w:rFonts w:ascii="Arial" w:hAnsi="Arial"/>
          <w:color w:val="FF0000"/>
          <w:sz w:val="20"/>
        </w:rPr>
        <w:t>[NOTA: Los médicos deben ejercer su juicio y criterio médicos con respecto a hacer un diagnóstico y una caracterización adecuados de la afección médica de un paciente en particular. Además, los médicos son responsables de garantizar la exactitud y validez de todas las facturas y reclamaciones del correspondiente reembolso.]</w:t>
      </w:r>
    </w:p>
    <w:p w14:paraId="068A3467" w14:textId="77777777" w:rsidR="00E21C7B" w:rsidRPr="005841DF" w:rsidRDefault="00E21C7B">
      <w:pPr>
        <w:spacing w:before="1"/>
        <w:rPr>
          <w:rFonts w:ascii="Arial" w:eastAsia="Arial" w:hAnsi="Arial" w:cs="Arial"/>
          <w:sz w:val="20"/>
          <w:szCs w:val="20"/>
        </w:rPr>
      </w:pPr>
    </w:p>
    <w:p w14:paraId="068A3468" w14:textId="77777777" w:rsidR="00E21C7B" w:rsidRPr="005841DF" w:rsidRDefault="003339EE">
      <w:pPr>
        <w:ind w:left="138" w:right="396"/>
        <w:rPr>
          <w:rFonts w:ascii="Arial" w:eastAsia="Arial" w:hAnsi="Arial" w:cs="Arial"/>
          <w:sz w:val="20"/>
          <w:szCs w:val="20"/>
        </w:rPr>
      </w:pPr>
      <w:r>
        <w:rPr>
          <w:rFonts w:ascii="Arial" w:hAnsi="Arial"/>
          <w:sz w:val="20"/>
        </w:rPr>
        <w:t xml:space="preserve">En resumen, REZUROCK es necesario por motivos médicos y adecuado para la enfermedad de </w:t>
      </w:r>
      <w:r>
        <w:rPr>
          <w:rFonts w:ascii="Arial" w:hAnsi="Arial"/>
          <w:color w:val="FF0000"/>
          <w:sz w:val="20"/>
        </w:rPr>
        <w:t>[Nombre del Paciente]</w:t>
      </w:r>
      <w:r>
        <w:rPr>
          <w:rFonts w:ascii="Arial" w:hAnsi="Arial"/>
          <w:sz w:val="20"/>
        </w:rPr>
        <w:t xml:space="preserve">. Comuníquese conmigo al </w:t>
      </w:r>
      <w:r>
        <w:rPr>
          <w:rFonts w:ascii="Arial" w:hAnsi="Arial"/>
          <w:color w:val="FF0000"/>
          <w:sz w:val="20"/>
        </w:rPr>
        <w:t xml:space="preserve">[número de teléfono del consultorio] </w:t>
      </w:r>
      <w:r>
        <w:rPr>
          <w:rFonts w:ascii="Arial" w:hAnsi="Arial"/>
          <w:sz w:val="20"/>
        </w:rPr>
        <w:t>si se necesita información adicional para garantizar la aprobación inmediata de esta tanda de tratamiento.</w:t>
      </w:r>
    </w:p>
    <w:p w14:paraId="068A3469" w14:textId="77777777" w:rsidR="00E21C7B" w:rsidRPr="005841DF" w:rsidRDefault="00E21C7B">
      <w:pPr>
        <w:rPr>
          <w:rFonts w:ascii="Arial" w:eastAsia="Arial" w:hAnsi="Arial" w:cs="Arial"/>
          <w:sz w:val="20"/>
          <w:szCs w:val="20"/>
        </w:rPr>
      </w:pPr>
    </w:p>
    <w:p w14:paraId="068A346A" w14:textId="77777777" w:rsidR="00E21C7B" w:rsidRPr="005841DF" w:rsidRDefault="00E21C7B">
      <w:pPr>
        <w:rPr>
          <w:rFonts w:ascii="Arial" w:eastAsia="Arial" w:hAnsi="Arial" w:cs="Arial"/>
          <w:sz w:val="20"/>
          <w:szCs w:val="20"/>
        </w:rPr>
      </w:pPr>
    </w:p>
    <w:p w14:paraId="068A346B" w14:textId="77777777" w:rsidR="00E21C7B" w:rsidRPr="005841DF" w:rsidRDefault="003339EE">
      <w:pPr>
        <w:ind w:left="138"/>
        <w:rPr>
          <w:rFonts w:ascii="Arial" w:eastAsia="Arial" w:hAnsi="Arial" w:cs="Arial"/>
          <w:sz w:val="20"/>
          <w:szCs w:val="20"/>
        </w:rPr>
      </w:pPr>
      <w:r>
        <w:rPr>
          <w:rFonts w:ascii="Arial" w:hAnsi="Arial"/>
          <w:sz w:val="20"/>
        </w:rPr>
        <w:t>Atentamente,</w:t>
      </w:r>
    </w:p>
    <w:p w14:paraId="068A346C" w14:textId="77777777" w:rsidR="00E21C7B" w:rsidRPr="005841DF" w:rsidRDefault="003339EE">
      <w:pPr>
        <w:spacing w:before="1" w:line="460" w:lineRule="atLeast"/>
        <w:ind w:left="138" w:right="8345"/>
        <w:rPr>
          <w:rFonts w:ascii="Arial" w:eastAsia="Arial" w:hAnsi="Arial" w:cs="Arial"/>
          <w:sz w:val="20"/>
          <w:szCs w:val="20"/>
        </w:rPr>
      </w:pPr>
      <w:r>
        <w:rPr>
          <w:rFonts w:ascii="Arial" w:hAnsi="Arial"/>
          <w:color w:val="FF0000"/>
          <w:sz w:val="20"/>
        </w:rPr>
        <w:t>[Insertar firma] [Anexos:]</w:t>
      </w:r>
    </w:p>
    <w:p w14:paraId="068A346D" w14:textId="77777777" w:rsidR="00E21C7B" w:rsidRPr="005841DF" w:rsidRDefault="003339EE">
      <w:pPr>
        <w:ind w:left="138" w:right="396"/>
        <w:rPr>
          <w:rFonts w:ascii="Arial" w:eastAsia="Arial" w:hAnsi="Arial" w:cs="Arial"/>
          <w:sz w:val="20"/>
          <w:szCs w:val="20"/>
        </w:rPr>
      </w:pPr>
      <w:r>
        <w:rPr>
          <w:rFonts w:ascii="Arial" w:hAnsi="Arial"/>
          <w:color w:val="FF0000"/>
          <w:sz w:val="20"/>
        </w:rPr>
        <w:t>[Enumere los anexos según corresponda: Los ejemplos de anexos incluyen extractos de la historia clínica del paciente, Explicación de beneficios (EOB), pautas de tratamiento relevantes e Información de Prescripción del producto.]</w:t>
      </w:r>
    </w:p>
    <w:p w14:paraId="068A346E" w14:textId="77777777" w:rsidR="00E21C7B" w:rsidRPr="005841DF" w:rsidRDefault="00E21C7B">
      <w:pPr>
        <w:spacing w:before="11"/>
        <w:rPr>
          <w:rFonts w:ascii="Arial" w:eastAsia="Arial" w:hAnsi="Arial" w:cs="Arial"/>
          <w:sz w:val="19"/>
          <w:szCs w:val="19"/>
        </w:rPr>
      </w:pPr>
    </w:p>
    <w:p w14:paraId="068A346F" w14:textId="77777777" w:rsidR="00E21C7B" w:rsidRPr="005841DF" w:rsidRDefault="003339EE">
      <w:pPr>
        <w:ind w:left="138" w:right="396"/>
        <w:rPr>
          <w:rFonts w:ascii="Arial" w:eastAsia="Arial" w:hAnsi="Arial" w:cs="Arial"/>
          <w:sz w:val="20"/>
          <w:szCs w:val="20"/>
        </w:rPr>
      </w:pPr>
      <w:r>
        <w:rPr>
          <w:rFonts w:ascii="Arial" w:hAnsi="Arial"/>
          <w:sz w:val="20"/>
        </w:rPr>
        <w:t>Esta carta es una plantilla y tiene por objeto servir únicamente como recurso informativo. No incluye toda la información necesaria para respaldar su solicitud de autorización previa. Los requisitos pueden variar según las pautas del plan de salud y el diseño de beneficios para el paciente. El proveedor solicitante es responsable de garantizar la exactitud, suficiencia y aceptabilidad de toda la información proporcionada. Sanofi no es un proveedor de asistencia médica y no proporciona diagnóstico ni tratamiento médico. La responsabilidad de evaluar la necesidad médica de un tratamiento en particular es responsabilidad exclusiva del profesional sanitario.</w:t>
      </w:r>
    </w:p>
    <w:p w14:paraId="068A3470" w14:textId="77777777" w:rsidR="00E21C7B" w:rsidRPr="005841DF" w:rsidRDefault="00E21C7B">
      <w:pPr>
        <w:rPr>
          <w:rFonts w:ascii="Arial" w:eastAsia="Arial" w:hAnsi="Arial" w:cs="Arial"/>
          <w:sz w:val="20"/>
          <w:szCs w:val="20"/>
        </w:rPr>
        <w:sectPr w:rsidR="00E21C7B" w:rsidRPr="005841DF" w:rsidSect="00FB434F">
          <w:type w:val="continuous"/>
          <w:pgSz w:w="12240" w:h="15840"/>
          <w:pgMar w:top="840" w:right="580" w:bottom="280" w:left="580" w:header="720" w:footer="720" w:gutter="0"/>
          <w:cols w:space="720"/>
        </w:sectPr>
      </w:pPr>
    </w:p>
    <w:p w14:paraId="068A3472" w14:textId="14D7AECD" w:rsidR="00E21C7B" w:rsidRPr="005841DF" w:rsidRDefault="003339EE" w:rsidP="008A7C2C">
      <w:pPr>
        <w:pStyle w:val="Heading1"/>
        <w:spacing w:before="47"/>
        <w:ind w:left="120" w:right="115" w:firstLine="0"/>
        <w:rPr>
          <w:rFonts w:cs="Arial"/>
          <w:sz w:val="20"/>
          <w:szCs w:val="20"/>
        </w:rPr>
      </w:pPr>
      <w:r>
        <w:rPr>
          <w:sz w:val="20"/>
        </w:rPr>
        <w:lastRenderedPageBreak/>
        <w:t>Las siguientes páginas son solo para su referencia. No es necesario enviar el contenido de esta página a la compañía de seguros.</w:t>
      </w:r>
    </w:p>
    <w:p w14:paraId="203933A8" w14:textId="77777777" w:rsidR="003F0605" w:rsidRPr="005841DF" w:rsidRDefault="003F0605" w:rsidP="003F0605">
      <w:pPr>
        <w:pStyle w:val="Heading1"/>
        <w:spacing w:before="47"/>
        <w:ind w:left="120" w:right="115" w:firstLine="0"/>
        <w:rPr>
          <w:rFonts w:cs="Arial"/>
          <w:sz w:val="20"/>
          <w:szCs w:val="20"/>
        </w:rPr>
      </w:pPr>
    </w:p>
    <w:p w14:paraId="068A3474" w14:textId="21C7D2D5" w:rsidR="00E21C7B" w:rsidRPr="00DD12C8" w:rsidRDefault="003339EE" w:rsidP="0075046B">
      <w:pPr>
        <w:pStyle w:val="Heading2"/>
        <w:rPr>
          <w:rFonts w:cs="Arial"/>
          <w:sz w:val="20"/>
          <w:szCs w:val="20"/>
        </w:rPr>
      </w:pPr>
      <w:r>
        <w:rPr>
          <w:sz w:val="20"/>
        </w:rPr>
        <w:t>INDICACIÓN</w:t>
      </w:r>
      <w:r w:rsidR="0075046B">
        <w:rPr>
          <w:sz w:val="20"/>
        </w:rPr>
        <w:br/>
      </w:r>
      <w:r w:rsidRPr="0075046B">
        <w:rPr>
          <w:b w:val="0"/>
          <w:bCs w:val="0"/>
          <w:sz w:val="20"/>
        </w:rPr>
        <w:t>REZUROCK</w:t>
      </w:r>
      <w:r w:rsidRPr="0075046B">
        <w:rPr>
          <w:rFonts w:cs="Arial"/>
          <w:b w:val="0"/>
          <w:bCs w:val="0"/>
          <w:sz w:val="20"/>
          <w:szCs w:val="20"/>
          <w:vertAlign w:val="superscript"/>
        </w:rPr>
        <w:t>®</w:t>
      </w:r>
      <w:r w:rsidRPr="0075046B">
        <w:rPr>
          <w:b w:val="0"/>
          <w:bCs w:val="0"/>
          <w:sz w:val="12"/>
        </w:rPr>
        <w:t xml:space="preserve"> </w:t>
      </w:r>
      <w:r w:rsidRPr="0075046B">
        <w:rPr>
          <w:b w:val="0"/>
          <w:bCs w:val="0"/>
          <w:sz w:val="20"/>
        </w:rPr>
        <w:t>(belumosudil) está indicado para el tratamiento de pacientes adultos y pediátricos de 12 años de edad o más con la enfermedad de injerto contra huésped crónica (EICH crónica) tras el fracaso de, al menos, dos líneas previas de tratamiento sistémico.</w:t>
      </w:r>
    </w:p>
    <w:p w14:paraId="068A3475" w14:textId="77777777" w:rsidR="00E21C7B" w:rsidRPr="005841DF" w:rsidRDefault="00E21C7B">
      <w:pPr>
        <w:rPr>
          <w:rFonts w:ascii="Arial" w:eastAsia="Arial" w:hAnsi="Arial" w:cs="Arial"/>
          <w:sz w:val="20"/>
          <w:szCs w:val="20"/>
        </w:rPr>
      </w:pPr>
    </w:p>
    <w:p w14:paraId="42D70BCF" w14:textId="1B058E7F" w:rsidR="005841DF" w:rsidRPr="00BF39A6" w:rsidRDefault="003339EE" w:rsidP="00BF39A6">
      <w:pPr>
        <w:pStyle w:val="Heading2"/>
        <w:spacing w:line="252" w:lineRule="exact"/>
        <w:rPr>
          <w:rFonts w:cs="Arial"/>
          <w:b w:val="0"/>
          <w:bCs w:val="0"/>
          <w:sz w:val="20"/>
          <w:szCs w:val="20"/>
        </w:rPr>
      </w:pPr>
      <w:r>
        <w:rPr>
          <w:sz w:val="20"/>
        </w:rPr>
        <w:t>INFORMACIÓN IMPORTANTE DE SEGURIDAD</w:t>
      </w:r>
    </w:p>
    <w:p w14:paraId="068A3477" w14:textId="2F9802BB" w:rsidR="00E21C7B" w:rsidRPr="0024327D" w:rsidRDefault="003339EE">
      <w:pPr>
        <w:spacing w:line="252" w:lineRule="exact"/>
        <w:ind w:left="120"/>
        <w:rPr>
          <w:rFonts w:ascii="Arial" w:eastAsia="Arial" w:hAnsi="Arial" w:cs="Arial"/>
          <w:sz w:val="20"/>
          <w:szCs w:val="20"/>
        </w:rPr>
      </w:pPr>
      <w:r>
        <w:rPr>
          <w:rFonts w:ascii="Arial" w:hAnsi="Arial"/>
          <w:b/>
          <w:sz w:val="20"/>
        </w:rPr>
        <w:t>Advertencias y Precauciones</w:t>
      </w:r>
    </w:p>
    <w:p w14:paraId="068A3478" w14:textId="21A4AB71" w:rsidR="00E21C7B" w:rsidRPr="0024327D" w:rsidRDefault="003339EE">
      <w:pPr>
        <w:pStyle w:val="BodyText"/>
        <w:numPr>
          <w:ilvl w:val="0"/>
          <w:numId w:val="4"/>
        </w:numPr>
        <w:tabs>
          <w:tab w:val="left" w:pos="839"/>
        </w:tabs>
        <w:ind w:right="115"/>
        <w:rPr>
          <w:rFonts w:cs="Arial"/>
          <w:sz w:val="20"/>
          <w:szCs w:val="20"/>
        </w:rPr>
      </w:pPr>
      <w:r>
        <w:rPr>
          <w:b/>
          <w:sz w:val="20"/>
        </w:rPr>
        <w:t xml:space="preserve">Toxicidad Embriofetal: </w:t>
      </w:r>
      <w:r>
        <w:rPr>
          <w:sz w:val="20"/>
        </w:rPr>
        <w:t>Según los resultados en animales y su mecanismo de acción, REZUROCK puede causar daño fetal cuando se administra a una mujer embarazada. Informe a las mujeres embarazadas del posible riesgo para el feto. Informe a las mujeres en edad fértil y a los hombres con parejas femeninas en edad fértil que utilicen métodos anticonceptivos eficaces durante el tratamiento con REZUROCK y durante, al menos, una semana después de la última dosis.</w:t>
      </w:r>
    </w:p>
    <w:p w14:paraId="068A3479" w14:textId="77777777" w:rsidR="00E21C7B" w:rsidRPr="0024327D" w:rsidRDefault="00E21C7B">
      <w:pPr>
        <w:spacing w:before="8"/>
        <w:rPr>
          <w:rFonts w:ascii="Arial" w:eastAsia="Arial" w:hAnsi="Arial" w:cs="Arial"/>
          <w:sz w:val="20"/>
          <w:szCs w:val="20"/>
        </w:rPr>
      </w:pPr>
    </w:p>
    <w:p w14:paraId="068A347A" w14:textId="77777777" w:rsidR="00E21C7B" w:rsidRPr="0024327D" w:rsidRDefault="003339EE">
      <w:pPr>
        <w:pStyle w:val="Heading2"/>
        <w:spacing w:line="253" w:lineRule="exact"/>
        <w:rPr>
          <w:rFonts w:cs="Arial"/>
          <w:b w:val="0"/>
          <w:bCs w:val="0"/>
          <w:sz w:val="20"/>
          <w:szCs w:val="20"/>
        </w:rPr>
      </w:pPr>
      <w:r>
        <w:rPr>
          <w:sz w:val="20"/>
        </w:rPr>
        <w:t>Reacciones Adversas</w:t>
      </w:r>
    </w:p>
    <w:p w14:paraId="068A347B" w14:textId="0CB271C7" w:rsidR="00E21C7B" w:rsidRPr="0024327D" w:rsidRDefault="003339EE">
      <w:pPr>
        <w:pStyle w:val="BodyText"/>
        <w:numPr>
          <w:ilvl w:val="0"/>
          <w:numId w:val="4"/>
        </w:numPr>
        <w:tabs>
          <w:tab w:val="left" w:pos="839"/>
        </w:tabs>
        <w:ind w:right="480"/>
        <w:rPr>
          <w:rFonts w:cs="Arial"/>
          <w:sz w:val="20"/>
          <w:szCs w:val="20"/>
        </w:rPr>
      </w:pPr>
      <w:r>
        <w:rPr>
          <w:sz w:val="20"/>
        </w:rPr>
        <w:t>Las reacciones adversas más frecuentes (≥20 %), incluidas las anomalías analíticas, fueron infecciones, astenia, náuseas, diarrea, disnea, tos, edema, hemorragia, dolor abdominal, dolor osteomuscular, cefalea, disminución del fosfato, aumento de la gamma glutamiltransferasa, disminución de los linfocitos e hipertensión.</w:t>
      </w:r>
    </w:p>
    <w:p w14:paraId="068A347C" w14:textId="2FAB893D" w:rsidR="00E21C7B" w:rsidRPr="0024327D" w:rsidRDefault="003339EE">
      <w:pPr>
        <w:pStyle w:val="BodyText"/>
        <w:numPr>
          <w:ilvl w:val="0"/>
          <w:numId w:val="4"/>
        </w:numPr>
        <w:tabs>
          <w:tab w:val="left" w:pos="839"/>
        </w:tabs>
        <w:spacing w:line="239" w:lineRule="auto"/>
        <w:ind w:right="256"/>
        <w:rPr>
          <w:rFonts w:cs="Arial"/>
          <w:sz w:val="20"/>
          <w:szCs w:val="20"/>
        </w:rPr>
      </w:pPr>
      <w:r>
        <w:rPr>
          <w:sz w:val="20"/>
        </w:rPr>
        <w:t>El 18 % de los pacientes debieron suspender de forma permanente REZUROCK debido a reacciones adversas. Las reacciones adversas que motivaron la suspensión permanente de REZUROCK en &gt;3 % de los pacientes fueron náuseas (4 %). Se produjeron reacciones adversas que obligaron a interrumpir temporalmente la dosis en el 29 % de los pacientes. Las reacciones adversas que motivaron la interrupción temporal de la dosis en ≥2 % fueron infecciones (11 %), diarrea (4 %) y astenia, disnea, hemorragia, hipotensión, anomalías en las pruebas funcionales hepáticas, náuseas, fiebre, edema e insuficiencia renal (2 % cada una).</w:t>
      </w:r>
    </w:p>
    <w:p w14:paraId="068A347D" w14:textId="77777777" w:rsidR="00E21C7B" w:rsidRPr="0024327D" w:rsidRDefault="003339EE">
      <w:pPr>
        <w:pStyle w:val="BodyText"/>
        <w:numPr>
          <w:ilvl w:val="0"/>
          <w:numId w:val="4"/>
        </w:numPr>
        <w:tabs>
          <w:tab w:val="left" w:pos="839"/>
        </w:tabs>
        <w:ind w:right="296"/>
        <w:rPr>
          <w:rFonts w:cs="Arial"/>
          <w:sz w:val="20"/>
          <w:szCs w:val="20"/>
        </w:rPr>
      </w:pPr>
      <w:r>
        <w:rPr>
          <w:sz w:val="20"/>
        </w:rPr>
        <w:t>Se deben vigilar la bilirrubina total, la aspartato aminotransferasa (AST) y la alanina aminotransferasa (ALT) al menos una vez al mes.</w:t>
      </w:r>
    </w:p>
    <w:p w14:paraId="068A347E" w14:textId="77777777" w:rsidR="00E21C7B" w:rsidRPr="0024327D" w:rsidRDefault="00E21C7B">
      <w:pPr>
        <w:spacing w:before="5"/>
        <w:rPr>
          <w:rFonts w:ascii="Arial" w:eastAsia="Arial" w:hAnsi="Arial" w:cs="Arial"/>
          <w:sz w:val="20"/>
          <w:szCs w:val="20"/>
        </w:rPr>
      </w:pPr>
    </w:p>
    <w:p w14:paraId="068A3480" w14:textId="1DDFF893" w:rsidR="00E21C7B" w:rsidRPr="0024327D" w:rsidRDefault="003339EE" w:rsidP="003339EE">
      <w:pPr>
        <w:pStyle w:val="Heading2"/>
        <w:ind w:left="118"/>
        <w:rPr>
          <w:rFonts w:cs="Arial"/>
          <w:b w:val="0"/>
          <w:bCs w:val="0"/>
          <w:sz w:val="20"/>
          <w:szCs w:val="20"/>
        </w:rPr>
      </w:pPr>
      <w:r>
        <w:rPr>
          <w:sz w:val="20"/>
        </w:rPr>
        <w:t>Interacciones Farmacológicas</w:t>
      </w:r>
    </w:p>
    <w:p w14:paraId="068A3481" w14:textId="5E56FD87" w:rsidR="00E21C7B" w:rsidRPr="0024327D" w:rsidRDefault="003339EE">
      <w:pPr>
        <w:numPr>
          <w:ilvl w:val="0"/>
          <w:numId w:val="3"/>
        </w:numPr>
        <w:tabs>
          <w:tab w:val="left" w:pos="839"/>
        </w:tabs>
        <w:ind w:right="191" w:hanging="360"/>
        <w:rPr>
          <w:rFonts w:ascii="Arial" w:eastAsia="Arial" w:hAnsi="Arial" w:cs="Arial"/>
          <w:sz w:val="20"/>
          <w:szCs w:val="20"/>
        </w:rPr>
      </w:pPr>
      <w:r>
        <w:rPr>
          <w:rFonts w:ascii="Arial" w:hAnsi="Arial"/>
          <w:b/>
          <w:sz w:val="20"/>
        </w:rPr>
        <w:t>Inductores Potentes de CYP3A:</w:t>
      </w:r>
      <w:r>
        <w:rPr>
          <w:rFonts w:ascii="Arial" w:hAnsi="Arial"/>
          <w:b/>
          <w:color w:val="383839"/>
          <w:sz w:val="20"/>
        </w:rPr>
        <w:t xml:space="preserve"> </w:t>
      </w:r>
      <w:r>
        <w:rPr>
          <w:rFonts w:ascii="Arial" w:hAnsi="Arial"/>
          <w:sz w:val="20"/>
        </w:rPr>
        <w:t>La administración conjunta de REZUROCK con inductores potentes de CYP3A disminuye la exposición al belumosudil, lo que puede reducir la eficacia de REZUROCK. Se deberá aumentar la dosis de REZUROCK a 200 mg dos veces al día cuando se administre conjuntamente con inductores potentes de CYP3A.</w:t>
      </w:r>
    </w:p>
    <w:p w14:paraId="068A3482" w14:textId="2D2F9EA3" w:rsidR="00E21C7B" w:rsidRPr="00965AB6" w:rsidRDefault="003339EE">
      <w:pPr>
        <w:numPr>
          <w:ilvl w:val="0"/>
          <w:numId w:val="3"/>
        </w:numPr>
        <w:tabs>
          <w:tab w:val="left" w:pos="839"/>
        </w:tabs>
        <w:ind w:right="131" w:hanging="360"/>
        <w:rPr>
          <w:rFonts w:ascii="Arial" w:eastAsia="Arial" w:hAnsi="Arial" w:cs="Arial"/>
          <w:sz w:val="20"/>
          <w:szCs w:val="20"/>
        </w:rPr>
      </w:pPr>
      <w:r>
        <w:rPr>
          <w:rFonts w:ascii="Arial" w:hAnsi="Arial"/>
          <w:b/>
          <w:sz w:val="20"/>
        </w:rPr>
        <w:t xml:space="preserve">Inhibidores de la Bomba de Protones: </w:t>
      </w:r>
      <w:r>
        <w:rPr>
          <w:rFonts w:ascii="Arial" w:hAnsi="Arial"/>
          <w:sz w:val="20"/>
        </w:rPr>
        <w:t>La administración conjunta de REZUROCK con inhibidores de la bomba de protones disminuye la exposición al belumosudil, lo que puede reducir la eficacia de REZUROCK. Se deberá aumentar la dosis de REZUROCK a 200 mg dos veces al día cuando se administre conjuntamente con inhibidores de la bomba de protones.</w:t>
      </w:r>
    </w:p>
    <w:p w14:paraId="7A965689" w14:textId="044667FC" w:rsidR="00965AB6" w:rsidRPr="008B2C9F" w:rsidRDefault="00965AB6" w:rsidP="00965AB6">
      <w:pPr>
        <w:numPr>
          <w:ilvl w:val="0"/>
          <w:numId w:val="3"/>
        </w:numPr>
        <w:tabs>
          <w:tab w:val="left" w:pos="838"/>
        </w:tabs>
        <w:ind w:right="170"/>
        <w:rPr>
          <w:rFonts w:ascii="Arial" w:eastAsia="Arial" w:hAnsi="Arial" w:cs="Arial"/>
          <w:sz w:val="20"/>
          <w:szCs w:val="20"/>
        </w:rPr>
      </w:pPr>
      <w:r w:rsidRPr="008B2C9F">
        <w:rPr>
          <w:rFonts w:ascii="Arial" w:eastAsia="Arial" w:hAnsi="Arial" w:cs="Arial"/>
          <w:b/>
          <w:bCs/>
          <w:sz w:val="20"/>
          <w:szCs w:val="20"/>
        </w:rPr>
        <w:t xml:space="preserve">Determinados sustratos de la </w:t>
      </w:r>
      <w:r w:rsidR="00AF6AF5" w:rsidRPr="00AF6AF5">
        <w:rPr>
          <w:rFonts w:ascii="Arial" w:eastAsia="Arial" w:hAnsi="Arial" w:cs="Arial"/>
          <w:b/>
          <w:bCs/>
          <w:sz w:val="20"/>
          <w:szCs w:val="20"/>
        </w:rPr>
        <w:t>UGT1A1</w:t>
      </w:r>
      <w:r w:rsidRPr="008B2C9F">
        <w:rPr>
          <w:rFonts w:ascii="Arial" w:eastAsia="Arial" w:hAnsi="Arial" w:cs="Arial"/>
          <w:b/>
          <w:bCs/>
          <w:sz w:val="20"/>
          <w:szCs w:val="20"/>
        </w:rPr>
        <w:t>:</w:t>
      </w:r>
      <w:r w:rsidRPr="008B2C9F">
        <w:rPr>
          <w:rFonts w:ascii="Arial" w:eastAsia="Arial" w:hAnsi="Arial" w:cs="Arial"/>
          <w:sz w:val="20"/>
          <w:szCs w:val="20"/>
        </w:rPr>
        <w:t xml:space="preserve"> Evite la coadministración de REZUROCK con sustratos de la UGT1A1, cuyos cambios mínimos en la concentración pueden dar lugar a toxicidades graves. Si no se puede evitar la coadministración, disminuya la(s) dosificación(es) de los sustratos de la UGT1A1 de acuerdo con la Información de Prescripción respectiva. RUZOROCK es un inhibidor de la UGT1A1. La coadministración de REZUROCK con un sustrato de la UGT1A1 disminuyó las concentraciones plasmáticas del metabolito glucurónido, lo que puede aumentar el riesgo de reacciones adversas relacionadas con los sustratos sensibles de la UGT1A1.</w:t>
      </w:r>
    </w:p>
    <w:p w14:paraId="7482D075" w14:textId="77777777" w:rsidR="00965AB6" w:rsidRPr="008B2C9F" w:rsidRDefault="00965AB6" w:rsidP="00965AB6">
      <w:pPr>
        <w:numPr>
          <w:ilvl w:val="0"/>
          <w:numId w:val="3"/>
        </w:numPr>
        <w:tabs>
          <w:tab w:val="left" w:pos="838"/>
        </w:tabs>
        <w:ind w:right="170"/>
        <w:rPr>
          <w:rFonts w:ascii="Arial" w:eastAsia="Arial" w:hAnsi="Arial" w:cs="Arial"/>
          <w:sz w:val="20"/>
          <w:szCs w:val="20"/>
        </w:rPr>
      </w:pPr>
      <w:r w:rsidRPr="008B2C9F">
        <w:rPr>
          <w:rFonts w:ascii="Arial" w:eastAsia="Arial" w:hAnsi="Arial" w:cs="Arial"/>
          <w:b/>
          <w:bCs/>
          <w:sz w:val="20"/>
          <w:szCs w:val="20"/>
        </w:rPr>
        <w:t>Determinados sustratos de la P-gp, del OATP1B1 y de la BCRP:</w:t>
      </w:r>
      <w:r w:rsidRPr="008B2C9F">
        <w:rPr>
          <w:rFonts w:ascii="Arial" w:eastAsia="Arial" w:hAnsi="Arial" w:cs="Arial"/>
          <w:sz w:val="20"/>
          <w:szCs w:val="20"/>
        </w:rPr>
        <w:t xml:space="preserve"> Evite la coadministración de REZUROCK con sustratos de la P-gp, del OATP1B1 y de la BCRP, cuyos cambios mínimos en la concentración pueden dar lugar a toxicidades graves. Si no se puede evitar la coadministración, disminuya la(s) dosificación(es) de los sustratos de la P-gp, del OATP1B1 y de la BCRP de acuerdo con la Información de Prescripción respectiva. REZUROCK es un inhibidor de la P-gp, del OATP1B1 y de la BCRP. La coadministración de REZUROCK con sustratos de la P-gp, del OATP1B1 y de la BCRP aumentó sus concentraciones plasmáticas, lo que puede aumentar el riesgo de reacciones adversas relacionadas con estos sustratos.</w:t>
      </w:r>
    </w:p>
    <w:p w14:paraId="5FA5354E" w14:textId="77777777" w:rsidR="00965AB6" w:rsidRPr="0024327D" w:rsidRDefault="00965AB6" w:rsidP="00965AB6">
      <w:pPr>
        <w:tabs>
          <w:tab w:val="left" w:pos="839"/>
        </w:tabs>
        <w:ind w:left="840" w:right="131"/>
        <w:rPr>
          <w:rFonts w:ascii="Arial" w:eastAsia="Arial" w:hAnsi="Arial" w:cs="Arial"/>
          <w:sz w:val="20"/>
          <w:szCs w:val="20"/>
        </w:rPr>
      </w:pPr>
    </w:p>
    <w:p w14:paraId="068A3483" w14:textId="77777777" w:rsidR="00E21C7B" w:rsidRPr="0024327D" w:rsidRDefault="00E21C7B">
      <w:pPr>
        <w:rPr>
          <w:rFonts w:ascii="Arial" w:eastAsia="Arial" w:hAnsi="Arial" w:cs="Arial"/>
          <w:sz w:val="20"/>
          <w:szCs w:val="20"/>
        </w:rPr>
      </w:pPr>
    </w:p>
    <w:p w14:paraId="068A3485" w14:textId="5322CBAC" w:rsidR="00E21C7B" w:rsidRPr="0024327D" w:rsidRDefault="003339EE" w:rsidP="003339EE">
      <w:pPr>
        <w:ind w:left="120"/>
        <w:rPr>
          <w:rFonts w:ascii="Arial" w:eastAsia="Arial" w:hAnsi="Arial" w:cs="Arial"/>
          <w:sz w:val="20"/>
          <w:szCs w:val="20"/>
        </w:rPr>
      </w:pPr>
      <w:r>
        <w:rPr>
          <w:rFonts w:ascii="Arial" w:hAnsi="Arial"/>
          <w:b/>
          <w:sz w:val="20"/>
        </w:rPr>
        <w:t>Uso en Poblaciones Específicas</w:t>
      </w:r>
    </w:p>
    <w:p w14:paraId="068A3486" w14:textId="4E09D414" w:rsidR="00E21C7B" w:rsidRPr="0024327D" w:rsidRDefault="003339EE" w:rsidP="003F0605">
      <w:pPr>
        <w:pStyle w:val="BodyText"/>
        <w:numPr>
          <w:ilvl w:val="0"/>
          <w:numId w:val="2"/>
        </w:numPr>
        <w:tabs>
          <w:tab w:val="left" w:pos="839"/>
        </w:tabs>
        <w:ind w:right="436"/>
        <w:rPr>
          <w:rFonts w:cs="Arial"/>
          <w:sz w:val="20"/>
          <w:szCs w:val="20"/>
        </w:rPr>
      </w:pPr>
      <w:r>
        <w:rPr>
          <w:b/>
          <w:sz w:val="20"/>
        </w:rPr>
        <w:t xml:space="preserve">Embarazo: </w:t>
      </w:r>
      <w:r>
        <w:rPr>
          <w:sz w:val="20"/>
        </w:rPr>
        <w:t xml:space="preserve">No se dispone de datos humanos sobre el uso de REZUROCK en mujeres embarazadas para </w:t>
      </w:r>
      <w:r>
        <w:rPr>
          <w:sz w:val="20"/>
        </w:rPr>
        <w:lastRenderedPageBreak/>
        <w:t>evaluar el riesgo asociado al fármaco. Informe a las mujeres embarazadas y las mujeres en edad fértil del posible riesgo para el feto.</w:t>
      </w:r>
    </w:p>
    <w:p w14:paraId="43E5E24F" w14:textId="50AD6769" w:rsidR="003F0605" w:rsidRPr="0024327D" w:rsidRDefault="003339EE" w:rsidP="003F0605">
      <w:pPr>
        <w:pStyle w:val="BodyText"/>
        <w:numPr>
          <w:ilvl w:val="0"/>
          <w:numId w:val="2"/>
        </w:numPr>
        <w:tabs>
          <w:tab w:val="left" w:pos="839"/>
        </w:tabs>
        <w:ind w:right="115"/>
        <w:rPr>
          <w:rFonts w:cs="Arial"/>
          <w:sz w:val="20"/>
          <w:szCs w:val="20"/>
        </w:rPr>
      </w:pPr>
      <w:r>
        <w:rPr>
          <w:b/>
          <w:sz w:val="20"/>
        </w:rPr>
        <w:t xml:space="preserve">Lactancia: </w:t>
      </w:r>
      <w:r>
        <w:rPr>
          <w:sz w:val="20"/>
        </w:rPr>
        <w:t>No se dispone de datos sobre la presencia de belumosudil o sus metabolitos en la leche humana ni sobre los efectos en el niño alimentado con leche materna o en la producción de leche. Debido a la posibilidad de reacciones adversas graves causadas por belumosudil en el niño alimentado con leche materna, se debe recomendar a las mujeres lactantes que no amamanten durante el tratamiento con REZUROCK ni durante una semana después de la última dosis.</w:t>
      </w:r>
    </w:p>
    <w:p w14:paraId="618C85A6" w14:textId="5D3E7A74" w:rsidR="003F0605" w:rsidRPr="0024327D" w:rsidRDefault="003F0605" w:rsidP="003F0605">
      <w:pPr>
        <w:pStyle w:val="BodyText"/>
        <w:numPr>
          <w:ilvl w:val="0"/>
          <w:numId w:val="2"/>
        </w:numPr>
        <w:tabs>
          <w:tab w:val="left" w:pos="839"/>
        </w:tabs>
        <w:ind w:right="514"/>
        <w:rPr>
          <w:rFonts w:cs="Arial"/>
          <w:sz w:val="20"/>
          <w:szCs w:val="20"/>
        </w:rPr>
      </w:pPr>
      <w:r>
        <w:rPr>
          <w:b/>
          <w:sz w:val="20"/>
        </w:rPr>
        <w:t xml:space="preserve">Uso Pediátrico: </w:t>
      </w:r>
      <w:r>
        <w:rPr>
          <w:sz w:val="20"/>
        </w:rPr>
        <w:t>No se ha establecido la seguridad y eficacia de REZUROCK en pacientes pediátricos menores de 12 años.</w:t>
      </w:r>
    </w:p>
    <w:p w14:paraId="66F012B6" w14:textId="77777777" w:rsidR="003F0605" w:rsidRPr="0024327D" w:rsidRDefault="003F0605" w:rsidP="003F0605">
      <w:pPr>
        <w:pStyle w:val="BodyText"/>
        <w:numPr>
          <w:ilvl w:val="0"/>
          <w:numId w:val="2"/>
        </w:numPr>
        <w:tabs>
          <w:tab w:val="left" w:pos="839"/>
        </w:tabs>
        <w:ind w:right="105"/>
        <w:rPr>
          <w:rFonts w:cs="Arial"/>
          <w:sz w:val="20"/>
          <w:szCs w:val="20"/>
        </w:rPr>
      </w:pPr>
      <w:r>
        <w:rPr>
          <w:b/>
          <w:sz w:val="20"/>
        </w:rPr>
        <w:t xml:space="preserve">Uso en Geriatría: </w:t>
      </w:r>
      <w:r>
        <w:rPr>
          <w:sz w:val="20"/>
        </w:rPr>
        <w:t>De los 186 pacientes con EICH crónica en los estudios clínicos de REZUROCK, el 26 % tenían 65 años o más. No se observaron diferencias clínicamente importantes en la seguridad o la eficacia de REZUROCK en comparación con los pacientes más jóvenes.</w:t>
      </w:r>
    </w:p>
    <w:p w14:paraId="7FBFC757" w14:textId="3A120F97" w:rsidR="003F0605" w:rsidRPr="0024327D" w:rsidRDefault="003F0605" w:rsidP="00DD12C8">
      <w:pPr>
        <w:pStyle w:val="BodyText"/>
        <w:numPr>
          <w:ilvl w:val="0"/>
          <w:numId w:val="2"/>
        </w:numPr>
        <w:tabs>
          <w:tab w:val="left" w:pos="839"/>
        </w:tabs>
        <w:ind w:left="835" w:right="518"/>
        <w:rPr>
          <w:rFonts w:cs="Arial"/>
          <w:bCs/>
          <w:sz w:val="20"/>
          <w:szCs w:val="20"/>
        </w:rPr>
      </w:pPr>
      <w:r>
        <w:rPr>
          <w:b/>
          <w:sz w:val="20"/>
        </w:rPr>
        <w:t xml:space="preserve">Insuficiencia Renal: </w:t>
      </w:r>
      <w:r>
        <w:rPr>
          <w:sz w:val="20"/>
        </w:rPr>
        <w:t>No se ha estudiado el tratamiento con REZUROCK en pacientes con insuficiencia renal grave preexistente. En pacientes con insuficiencia renal grave preexistente, considere los riesgos y los posibles beneficios antes de iniciar el tratamiento con REZUROCK.</w:t>
      </w:r>
    </w:p>
    <w:p w14:paraId="12E3316C" w14:textId="77777777" w:rsidR="003F0605" w:rsidRPr="0024327D" w:rsidRDefault="003F0605" w:rsidP="00DD12C8">
      <w:pPr>
        <w:pStyle w:val="BodyText"/>
        <w:numPr>
          <w:ilvl w:val="0"/>
          <w:numId w:val="2"/>
        </w:numPr>
        <w:tabs>
          <w:tab w:val="left" w:pos="839"/>
        </w:tabs>
        <w:ind w:left="835" w:right="518"/>
        <w:rPr>
          <w:rFonts w:cs="Arial"/>
          <w:bCs/>
          <w:sz w:val="20"/>
          <w:szCs w:val="20"/>
        </w:rPr>
      </w:pPr>
      <w:r>
        <w:rPr>
          <w:b/>
          <w:sz w:val="20"/>
        </w:rPr>
        <w:t>Insuficiencia Hepática:</w:t>
      </w:r>
      <w:r>
        <w:rPr>
          <w:sz w:val="20"/>
        </w:rPr>
        <w:t xml:space="preserve"> Evite el uso en pacientes con insuficiencia hepática moderada (Child-Pugh B) o insuficiencia hepática grave (Child-Pugh C) sin EICH hepática. No se recomienda ajustar la dosis en pacientes con insuficiencia hepática leve (Child-Pugh A).</w:t>
      </w:r>
    </w:p>
    <w:p w14:paraId="55EF5F4C" w14:textId="77777777" w:rsidR="003F0605" w:rsidRPr="0024327D" w:rsidRDefault="003F0605" w:rsidP="003F0605">
      <w:pPr>
        <w:pStyle w:val="BodyText"/>
        <w:tabs>
          <w:tab w:val="left" w:pos="839"/>
        </w:tabs>
        <w:ind w:left="0" w:right="115" w:firstLine="0"/>
        <w:rPr>
          <w:rFonts w:cs="Arial"/>
          <w:sz w:val="20"/>
          <w:szCs w:val="20"/>
        </w:rPr>
      </w:pPr>
    </w:p>
    <w:p w14:paraId="05DF9101" w14:textId="1F848A90" w:rsidR="003F0605" w:rsidRPr="0024327D" w:rsidRDefault="003F0605" w:rsidP="003F0605">
      <w:pPr>
        <w:pStyle w:val="Heading2"/>
        <w:ind w:left="118"/>
        <w:rPr>
          <w:rFonts w:cs="Arial"/>
          <w:b w:val="0"/>
          <w:bCs w:val="0"/>
          <w:sz w:val="20"/>
          <w:szCs w:val="20"/>
        </w:rPr>
      </w:pPr>
      <w:r>
        <w:rPr>
          <w:sz w:val="20"/>
        </w:rPr>
        <w:t xml:space="preserve">Haga clic </w:t>
      </w:r>
      <w:r w:rsidRPr="00026757">
        <w:rPr>
          <w:sz w:val="20"/>
        </w:rPr>
        <w:t xml:space="preserve">aquí </w:t>
      </w:r>
      <w:r>
        <w:rPr>
          <w:sz w:val="20"/>
        </w:rPr>
        <w:t>para ver la Información de Prescripción completa.</w:t>
      </w:r>
      <w:r w:rsidR="00026757">
        <w:rPr>
          <w:sz w:val="20"/>
        </w:rPr>
        <w:t xml:space="preserve"> </w:t>
      </w:r>
      <w:hyperlink r:id="rId8" w:history="1">
        <w:r w:rsidR="00026757" w:rsidRPr="00D4670D">
          <w:rPr>
            <w:rStyle w:val="Hyperlink"/>
            <w:sz w:val="20"/>
          </w:rPr>
          <w:t>Inglés</w:t>
        </w:r>
      </w:hyperlink>
      <w:r w:rsidR="00026757" w:rsidRPr="00B57FD5">
        <w:rPr>
          <w:sz w:val="20"/>
        </w:rPr>
        <w:t xml:space="preserve"> </w:t>
      </w:r>
      <w:hyperlink r:id="rId9" w:history="1">
        <w:r w:rsidR="00026757" w:rsidRPr="00D4670D">
          <w:rPr>
            <w:rStyle w:val="Hyperlink"/>
            <w:sz w:val="20"/>
          </w:rPr>
          <w:t>Español</w:t>
        </w:r>
      </w:hyperlink>
    </w:p>
    <w:p w14:paraId="6CCA7A66" w14:textId="77777777" w:rsidR="003F0605" w:rsidRPr="0024327D" w:rsidRDefault="003F0605" w:rsidP="003F0605">
      <w:pPr>
        <w:spacing w:before="2"/>
        <w:rPr>
          <w:rFonts w:ascii="Arial" w:eastAsia="Arial" w:hAnsi="Arial" w:cs="Arial"/>
          <w:sz w:val="20"/>
          <w:szCs w:val="20"/>
        </w:rPr>
      </w:pPr>
    </w:p>
    <w:p w14:paraId="5DC50EFB" w14:textId="1C68398E" w:rsidR="005841DF" w:rsidRPr="0024327D" w:rsidRDefault="003F0605" w:rsidP="003F0605">
      <w:pPr>
        <w:spacing w:before="2"/>
        <w:ind w:left="120"/>
        <w:rPr>
          <w:rFonts w:ascii="Arial" w:hAnsi="Arial" w:cs="Arial"/>
          <w:sz w:val="20"/>
          <w:szCs w:val="20"/>
        </w:rPr>
      </w:pPr>
      <w:r>
        <w:rPr>
          <w:rFonts w:ascii="Arial" w:hAnsi="Arial"/>
          <w:sz w:val="20"/>
        </w:rPr>
        <w:t xml:space="preserve">© 2024 </w:t>
      </w:r>
      <w:r w:rsidR="00867F79">
        <w:rPr>
          <w:rFonts w:ascii="Arial" w:hAnsi="Arial"/>
          <w:sz w:val="20"/>
        </w:rPr>
        <w:t>Sanofi</w:t>
      </w:r>
      <w:r>
        <w:rPr>
          <w:rFonts w:ascii="Arial" w:hAnsi="Arial"/>
          <w:sz w:val="20"/>
        </w:rPr>
        <w:t xml:space="preserve">. Todos los Derechos Reservados. </w:t>
      </w:r>
    </w:p>
    <w:p w14:paraId="2EC68D3F" w14:textId="58A76CDD" w:rsidR="003F0605" w:rsidRPr="0024327D" w:rsidRDefault="000D589E" w:rsidP="003F0605">
      <w:pPr>
        <w:spacing w:before="2"/>
        <w:ind w:left="120"/>
        <w:rPr>
          <w:rFonts w:ascii="Arial" w:eastAsia="Arial" w:hAnsi="Arial" w:cs="Arial"/>
          <w:sz w:val="20"/>
          <w:szCs w:val="20"/>
        </w:rPr>
      </w:pPr>
      <w:r w:rsidRPr="00CB677E">
        <w:rPr>
          <w:rFonts w:ascii="Arial" w:hAnsi="Arial"/>
          <w:sz w:val="20"/>
        </w:rPr>
        <w:t>REZUROCK es fabricado por Kadmon Pharmaceuticals,</w:t>
      </w:r>
      <w:r>
        <w:rPr>
          <w:rFonts w:ascii="Arial" w:hAnsi="Arial"/>
          <w:sz w:val="20"/>
        </w:rPr>
        <w:t xml:space="preserve"> </w:t>
      </w:r>
      <w:r w:rsidRPr="00CB677E">
        <w:rPr>
          <w:rFonts w:ascii="Arial" w:hAnsi="Arial"/>
          <w:sz w:val="20"/>
        </w:rPr>
        <w:t>LLC, una compañía de Sanofi. REZUROCK y Sanofi son marcas registradas de Sanofi o sus afiliados</w:t>
      </w:r>
      <w:r w:rsidR="003F0605">
        <w:rPr>
          <w:rFonts w:ascii="Arial" w:hAnsi="Arial"/>
          <w:sz w:val="20"/>
        </w:rPr>
        <w:t xml:space="preserve">. </w:t>
      </w:r>
    </w:p>
    <w:p w14:paraId="068A348C" w14:textId="07FDAE3A" w:rsidR="00E21C7B" w:rsidRPr="0024327D" w:rsidRDefault="0024327D" w:rsidP="0024327D">
      <w:pPr>
        <w:pStyle w:val="BodyText"/>
        <w:spacing w:line="479" w:lineRule="auto"/>
        <w:ind w:left="0" w:right="4836" w:firstLine="0"/>
        <w:rPr>
          <w:rFonts w:cs="Arial"/>
          <w:sz w:val="20"/>
          <w:szCs w:val="20"/>
        </w:rPr>
      </w:pPr>
      <w:r>
        <w:rPr>
          <w:sz w:val="20"/>
        </w:rPr>
        <w:t xml:space="preserve">  MAT-US-2203958-v</w:t>
      </w:r>
      <w:r w:rsidR="0069500A">
        <w:rPr>
          <w:sz w:val="20"/>
        </w:rPr>
        <w:t>4</w:t>
      </w:r>
      <w:r>
        <w:rPr>
          <w:sz w:val="20"/>
        </w:rPr>
        <w:t>.0-0</w:t>
      </w:r>
      <w:r w:rsidR="00A86263">
        <w:rPr>
          <w:sz w:val="20"/>
        </w:rPr>
        <w:t>6</w:t>
      </w:r>
      <w:r>
        <w:rPr>
          <w:sz w:val="20"/>
        </w:rPr>
        <w:t>/2024</w:t>
      </w:r>
    </w:p>
    <w:sectPr w:rsidR="00E21C7B" w:rsidRPr="0024327D" w:rsidSect="00FB434F">
      <w:pgSz w:w="12240" w:h="15840"/>
      <w:pgMar w:top="860" w:right="760" w:bottom="99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760B26"/>
    <w:multiLevelType w:val="hybridMultilevel"/>
    <w:tmpl w:val="9EDCF332"/>
    <w:lvl w:ilvl="0" w:tplc="4CACCECA">
      <w:start w:val="1"/>
      <w:numFmt w:val="bullet"/>
      <w:lvlText w:val=""/>
      <w:lvlJc w:val="left"/>
      <w:pPr>
        <w:ind w:left="837" w:hanging="360"/>
      </w:pPr>
      <w:rPr>
        <w:rFonts w:ascii="Symbol" w:eastAsia="Symbol" w:hAnsi="Symbol" w:hint="default"/>
        <w:color w:val="383839"/>
        <w:sz w:val="24"/>
        <w:szCs w:val="24"/>
      </w:rPr>
    </w:lvl>
    <w:lvl w:ilvl="1" w:tplc="A98AA37C">
      <w:start w:val="1"/>
      <w:numFmt w:val="bullet"/>
      <w:lvlText w:val="•"/>
      <w:lvlJc w:val="left"/>
      <w:pPr>
        <w:ind w:left="1853" w:hanging="360"/>
      </w:pPr>
    </w:lvl>
    <w:lvl w:ilvl="2" w:tplc="4FF832FA">
      <w:start w:val="1"/>
      <w:numFmt w:val="bullet"/>
      <w:lvlText w:val="•"/>
      <w:lvlJc w:val="left"/>
      <w:pPr>
        <w:ind w:left="2870" w:hanging="360"/>
      </w:pPr>
    </w:lvl>
    <w:lvl w:ilvl="3" w:tplc="2DE284CE">
      <w:start w:val="1"/>
      <w:numFmt w:val="bullet"/>
      <w:lvlText w:val="•"/>
      <w:lvlJc w:val="left"/>
      <w:pPr>
        <w:ind w:left="3886" w:hanging="360"/>
      </w:pPr>
    </w:lvl>
    <w:lvl w:ilvl="4" w:tplc="3B08250A">
      <w:start w:val="1"/>
      <w:numFmt w:val="bullet"/>
      <w:lvlText w:val="•"/>
      <w:lvlJc w:val="left"/>
      <w:pPr>
        <w:ind w:left="4902" w:hanging="360"/>
      </w:pPr>
    </w:lvl>
    <w:lvl w:ilvl="5" w:tplc="34028D36">
      <w:start w:val="1"/>
      <w:numFmt w:val="bullet"/>
      <w:lvlText w:val="•"/>
      <w:lvlJc w:val="left"/>
      <w:pPr>
        <w:ind w:left="5918" w:hanging="360"/>
      </w:pPr>
    </w:lvl>
    <w:lvl w:ilvl="6" w:tplc="F2C061F2">
      <w:start w:val="1"/>
      <w:numFmt w:val="bullet"/>
      <w:lvlText w:val="•"/>
      <w:lvlJc w:val="left"/>
      <w:pPr>
        <w:ind w:left="6935" w:hanging="360"/>
      </w:pPr>
    </w:lvl>
    <w:lvl w:ilvl="7" w:tplc="E7928D16">
      <w:start w:val="1"/>
      <w:numFmt w:val="bullet"/>
      <w:lvlText w:val="•"/>
      <w:lvlJc w:val="left"/>
      <w:pPr>
        <w:ind w:left="7951" w:hanging="360"/>
      </w:pPr>
    </w:lvl>
    <w:lvl w:ilvl="8" w:tplc="022806A8">
      <w:start w:val="1"/>
      <w:numFmt w:val="bullet"/>
      <w:lvlText w:val="•"/>
      <w:lvlJc w:val="left"/>
      <w:pPr>
        <w:ind w:left="8967" w:hanging="360"/>
      </w:pPr>
    </w:lvl>
  </w:abstractNum>
  <w:abstractNum w:abstractNumId="1" w15:restartNumberingAfterBreak="0">
    <w:nsid w:val="624420B4"/>
    <w:multiLevelType w:val="hybridMultilevel"/>
    <w:tmpl w:val="B8A4DAAE"/>
    <w:lvl w:ilvl="0" w:tplc="EFDEA45C">
      <w:start w:val="1"/>
      <w:numFmt w:val="bullet"/>
      <w:lvlText w:val=""/>
      <w:lvlJc w:val="left"/>
      <w:pPr>
        <w:ind w:left="1440" w:hanging="360"/>
      </w:pPr>
      <w:rPr>
        <w:rFonts w:ascii="Symbol" w:hAnsi="Symbol"/>
      </w:rPr>
    </w:lvl>
    <w:lvl w:ilvl="1" w:tplc="ECF65332">
      <w:start w:val="1"/>
      <w:numFmt w:val="bullet"/>
      <w:lvlText w:val=""/>
      <w:lvlJc w:val="left"/>
      <w:pPr>
        <w:ind w:left="1440" w:hanging="360"/>
      </w:pPr>
      <w:rPr>
        <w:rFonts w:ascii="Symbol" w:hAnsi="Symbol"/>
      </w:rPr>
    </w:lvl>
    <w:lvl w:ilvl="2" w:tplc="FE2ECFBC">
      <w:start w:val="1"/>
      <w:numFmt w:val="bullet"/>
      <w:lvlText w:val=""/>
      <w:lvlJc w:val="left"/>
      <w:pPr>
        <w:ind w:left="1440" w:hanging="360"/>
      </w:pPr>
      <w:rPr>
        <w:rFonts w:ascii="Symbol" w:hAnsi="Symbol"/>
      </w:rPr>
    </w:lvl>
    <w:lvl w:ilvl="3" w:tplc="ED322042">
      <w:start w:val="1"/>
      <w:numFmt w:val="bullet"/>
      <w:lvlText w:val=""/>
      <w:lvlJc w:val="left"/>
      <w:pPr>
        <w:ind w:left="1440" w:hanging="360"/>
      </w:pPr>
      <w:rPr>
        <w:rFonts w:ascii="Symbol" w:hAnsi="Symbol"/>
      </w:rPr>
    </w:lvl>
    <w:lvl w:ilvl="4" w:tplc="079AE7EE">
      <w:start w:val="1"/>
      <w:numFmt w:val="bullet"/>
      <w:lvlText w:val=""/>
      <w:lvlJc w:val="left"/>
      <w:pPr>
        <w:ind w:left="1440" w:hanging="360"/>
      </w:pPr>
      <w:rPr>
        <w:rFonts w:ascii="Symbol" w:hAnsi="Symbol"/>
      </w:rPr>
    </w:lvl>
    <w:lvl w:ilvl="5" w:tplc="491AFB4C">
      <w:start w:val="1"/>
      <w:numFmt w:val="bullet"/>
      <w:lvlText w:val=""/>
      <w:lvlJc w:val="left"/>
      <w:pPr>
        <w:ind w:left="1440" w:hanging="360"/>
      </w:pPr>
      <w:rPr>
        <w:rFonts w:ascii="Symbol" w:hAnsi="Symbol"/>
      </w:rPr>
    </w:lvl>
    <w:lvl w:ilvl="6" w:tplc="53044A2C">
      <w:start w:val="1"/>
      <w:numFmt w:val="bullet"/>
      <w:lvlText w:val=""/>
      <w:lvlJc w:val="left"/>
      <w:pPr>
        <w:ind w:left="1440" w:hanging="360"/>
      </w:pPr>
      <w:rPr>
        <w:rFonts w:ascii="Symbol" w:hAnsi="Symbol"/>
      </w:rPr>
    </w:lvl>
    <w:lvl w:ilvl="7" w:tplc="EE5A92FC">
      <w:start w:val="1"/>
      <w:numFmt w:val="bullet"/>
      <w:lvlText w:val=""/>
      <w:lvlJc w:val="left"/>
      <w:pPr>
        <w:ind w:left="1440" w:hanging="360"/>
      </w:pPr>
      <w:rPr>
        <w:rFonts w:ascii="Symbol" w:hAnsi="Symbol"/>
      </w:rPr>
    </w:lvl>
    <w:lvl w:ilvl="8" w:tplc="5D2020CC">
      <w:start w:val="1"/>
      <w:numFmt w:val="bullet"/>
      <w:lvlText w:val=""/>
      <w:lvlJc w:val="left"/>
      <w:pPr>
        <w:ind w:left="1440" w:hanging="360"/>
      </w:pPr>
      <w:rPr>
        <w:rFonts w:ascii="Symbol" w:hAnsi="Symbol"/>
      </w:rPr>
    </w:lvl>
  </w:abstractNum>
  <w:abstractNum w:abstractNumId="2" w15:restartNumberingAfterBreak="0">
    <w:nsid w:val="77716FE3"/>
    <w:multiLevelType w:val="hybridMultilevel"/>
    <w:tmpl w:val="30B6FC44"/>
    <w:lvl w:ilvl="0" w:tplc="689826A6">
      <w:start w:val="1"/>
      <w:numFmt w:val="bullet"/>
      <w:lvlText w:val=""/>
      <w:lvlJc w:val="left"/>
      <w:pPr>
        <w:ind w:left="838" w:hanging="360"/>
      </w:pPr>
      <w:rPr>
        <w:rFonts w:ascii="Symbol" w:eastAsia="Symbol" w:hAnsi="Symbol" w:hint="default"/>
        <w:w w:val="99"/>
        <w:sz w:val="22"/>
        <w:szCs w:val="22"/>
      </w:rPr>
    </w:lvl>
    <w:lvl w:ilvl="1" w:tplc="1B74AE30">
      <w:start w:val="1"/>
      <w:numFmt w:val="bullet"/>
      <w:lvlText w:val="•"/>
      <w:lvlJc w:val="left"/>
      <w:pPr>
        <w:ind w:left="1852" w:hanging="360"/>
      </w:pPr>
      <w:rPr>
        <w:rFonts w:hint="default"/>
      </w:rPr>
    </w:lvl>
    <w:lvl w:ilvl="2" w:tplc="FFA4D780">
      <w:start w:val="1"/>
      <w:numFmt w:val="bullet"/>
      <w:lvlText w:val="•"/>
      <w:lvlJc w:val="left"/>
      <w:pPr>
        <w:ind w:left="2867" w:hanging="360"/>
      </w:pPr>
      <w:rPr>
        <w:rFonts w:hint="default"/>
      </w:rPr>
    </w:lvl>
    <w:lvl w:ilvl="3" w:tplc="E062B140">
      <w:start w:val="1"/>
      <w:numFmt w:val="bullet"/>
      <w:lvlText w:val="•"/>
      <w:lvlJc w:val="left"/>
      <w:pPr>
        <w:ind w:left="3881" w:hanging="360"/>
      </w:pPr>
      <w:rPr>
        <w:rFonts w:hint="default"/>
      </w:rPr>
    </w:lvl>
    <w:lvl w:ilvl="4" w:tplc="9250A5B8">
      <w:start w:val="1"/>
      <w:numFmt w:val="bullet"/>
      <w:lvlText w:val="•"/>
      <w:lvlJc w:val="left"/>
      <w:pPr>
        <w:ind w:left="4895" w:hanging="360"/>
      </w:pPr>
      <w:rPr>
        <w:rFonts w:hint="default"/>
      </w:rPr>
    </w:lvl>
    <w:lvl w:ilvl="5" w:tplc="34E6B638">
      <w:start w:val="1"/>
      <w:numFmt w:val="bullet"/>
      <w:lvlText w:val="•"/>
      <w:lvlJc w:val="left"/>
      <w:pPr>
        <w:ind w:left="5909" w:hanging="360"/>
      </w:pPr>
      <w:rPr>
        <w:rFonts w:hint="default"/>
      </w:rPr>
    </w:lvl>
    <w:lvl w:ilvl="6" w:tplc="F7CE6208">
      <w:start w:val="1"/>
      <w:numFmt w:val="bullet"/>
      <w:lvlText w:val="•"/>
      <w:lvlJc w:val="left"/>
      <w:pPr>
        <w:ind w:left="6923" w:hanging="360"/>
      </w:pPr>
      <w:rPr>
        <w:rFonts w:hint="default"/>
      </w:rPr>
    </w:lvl>
    <w:lvl w:ilvl="7" w:tplc="500EA3AC">
      <w:start w:val="1"/>
      <w:numFmt w:val="bullet"/>
      <w:lvlText w:val="•"/>
      <w:lvlJc w:val="left"/>
      <w:pPr>
        <w:ind w:left="7937" w:hanging="360"/>
      </w:pPr>
      <w:rPr>
        <w:rFonts w:hint="default"/>
      </w:rPr>
    </w:lvl>
    <w:lvl w:ilvl="8" w:tplc="97CE35A0">
      <w:start w:val="1"/>
      <w:numFmt w:val="bullet"/>
      <w:lvlText w:val="•"/>
      <w:lvlJc w:val="left"/>
      <w:pPr>
        <w:ind w:left="8951" w:hanging="360"/>
      </w:pPr>
      <w:rPr>
        <w:rFonts w:hint="default"/>
      </w:rPr>
    </w:lvl>
  </w:abstractNum>
  <w:abstractNum w:abstractNumId="3" w15:restartNumberingAfterBreak="0">
    <w:nsid w:val="77932758"/>
    <w:multiLevelType w:val="hybridMultilevel"/>
    <w:tmpl w:val="1AE40366"/>
    <w:lvl w:ilvl="0" w:tplc="A7B0A258">
      <w:start w:val="1"/>
      <w:numFmt w:val="bullet"/>
      <w:lvlText w:val=""/>
      <w:lvlJc w:val="left"/>
      <w:pPr>
        <w:ind w:left="840" w:hanging="359"/>
      </w:pPr>
      <w:rPr>
        <w:rFonts w:ascii="Symbol" w:eastAsia="Symbol" w:hAnsi="Symbol" w:hint="default"/>
        <w:color w:val="383839"/>
        <w:sz w:val="24"/>
        <w:szCs w:val="24"/>
      </w:rPr>
    </w:lvl>
    <w:lvl w:ilvl="1" w:tplc="B63CD04E">
      <w:start w:val="1"/>
      <w:numFmt w:val="bullet"/>
      <w:lvlText w:val="•"/>
      <w:lvlJc w:val="left"/>
      <w:pPr>
        <w:ind w:left="1854" w:hanging="359"/>
      </w:pPr>
      <w:rPr>
        <w:rFonts w:hint="default"/>
      </w:rPr>
    </w:lvl>
    <w:lvl w:ilvl="2" w:tplc="FA00921C">
      <w:start w:val="1"/>
      <w:numFmt w:val="bullet"/>
      <w:lvlText w:val="•"/>
      <w:lvlJc w:val="left"/>
      <w:pPr>
        <w:ind w:left="2868" w:hanging="359"/>
      </w:pPr>
      <w:rPr>
        <w:rFonts w:hint="default"/>
      </w:rPr>
    </w:lvl>
    <w:lvl w:ilvl="3" w:tplc="C85ACB86">
      <w:start w:val="1"/>
      <w:numFmt w:val="bullet"/>
      <w:lvlText w:val="•"/>
      <w:lvlJc w:val="left"/>
      <w:pPr>
        <w:ind w:left="3882" w:hanging="359"/>
      </w:pPr>
      <w:rPr>
        <w:rFonts w:hint="default"/>
      </w:rPr>
    </w:lvl>
    <w:lvl w:ilvl="4" w:tplc="5B24F884">
      <w:start w:val="1"/>
      <w:numFmt w:val="bullet"/>
      <w:lvlText w:val="•"/>
      <w:lvlJc w:val="left"/>
      <w:pPr>
        <w:ind w:left="4896" w:hanging="359"/>
      </w:pPr>
      <w:rPr>
        <w:rFonts w:hint="default"/>
      </w:rPr>
    </w:lvl>
    <w:lvl w:ilvl="5" w:tplc="6952CFD2">
      <w:start w:val="1"/>
      <w:numFmt w:val="bullet"/>
      <w:lvlText w:val="•"/>
      <w:lvlJc w:val="left"/>
      <w:pPr>
        <w:ind w:left="5910" w:hanging="359"/>
      </w:pPr>
      <w:rPr>
        <w:rFonts w:hint="default"/>
      </w:rPr>
    </w:lvl>
    <w:lvl w:ilvl="6" w:tplc="53A42642">
      <w:start w:val="1"/>
      <w:numFmt w:val="bullet"/>
      <w:lvlText w:val="•"/>
      <w:lvlJc w:val="left"/>
      <w:pPr>
        <w:ind w:left="6924" w:hanging="359"/>
      </w:pPr>
      <w:rPr>
        <w:rFonts w:hint="default"/>
      </w:rPr>
    </w:lvl>
    <w:lvl w:ilvl="7" w:tplc="3AB471B0">
      <w:start w:val="1"/>
      <w:numFmt w:val="bullet"/>
      <w:lvlText w:val="•"/>
      <w:lvlJc w:val="left"/>
      <w:pPr>
        <w:ind w:left="7938" w:hanging="359"/>
      </w:pPr>
      <w:rPr>
        <w:rFonts w:hint="default"/>
      </w:rPr>
    </w:lvl>
    <w:lvl w:ilvl="8" w:tplc="DEA85E06">
      <w:start w:val="1"/>
      <w:numFmt w:val="bullet"/>
      <w:lvlText w:val="•"/>
      <w:lvlJc w:val="left"/>
      <w:pPr>
        <w:ind w:left="8952" w:hanging="359"/>
      </w:pPr>
      <w:rPr>
        <w:rFonts w:hint="default"/>
      </w:rPr>
    </w:lvl>
  </w:abstractNum>
  <w:abstractNum w:abstractNumId="4" w15:restartNumberingAfterBreak="0">
    <w:nsid w:val="78C3314E"/>
    <w:multiLevelType w:val="hybridMultilevel"/>
    <w:tmpl w:val="4BE4DE46"/>
    <w:lvl w:ilvl="0" w:tplc="41C0ADB6">
      <w:start w:val="1"/>
      <w:numFmt w:val="bullet"/>
      <w:lvlText w:val=""/>
      <w:lvlJc w:val="left"/>
      <w:pPr>
        <w:ind w:left="838" w:hanging="360"/>
      </w:pPr>
      <w:rPr>
        <w:rFonts w:ascii="Symbol" w:eastAsia="Symbol" w:hAnsi="Symbol" w:hint="default"/>
        <w:w w:val="99"/>
        <w:sz w:val="22"/>
        <w:szCs w:val="22"/>
      </w:rPr>
    </w:lvl>
    <w:lvl w:ilvl="1" w:tplc="8D022180">
      <w:start w:val="1"/>
      <w:numFmt w:val="bullet"/>
      <w:lvlText w:val="•"/>
      <w:lvlJc w:val="left"/>
      <w:pPr>
        <w:ind w:left="1852" w:hanging="360"/>
      </w:pPr>
      <w:rPr>
        <w:rFonts w:hint="default"/>
      </w:rPr>
    </w:lvl>
    <w:lvl w:ilvl="2" w:tplc="876EF930">
      <w:start w:val="1"/>
      <w:numFmt w:val="bullet"/>
      <w:lvlText w:val="•"/>
      <w:lvlJc w:val="left"/>
      <w:pPr>
        <w:ind w:left="2867" w:hanging="360"/>
      </w:pPr>
      <w:rPr>
        <w:rFonts w:hint="default"/>
      </w:rPr>
    </w:lvl>
    <w:lvl w:ilvl="3" w:tplc="3BBC24BE">
      <w:start w:val="1"/>
      <w:numFmt w:val="bullet"/>
      <w:lvlText w:val="•"/>
      <w:lvlJc w:val="left"/>
      <w:pPr>
        <w:ind w:left="3881" w:hanging="360"/>
      </w:pPr>
      <w:rPr>
        <w:rFonts w:hint="default"/>
      </w:rPr>
    </w:lvl>
    <w:lvl w:ilvl="4" w:tplc="E85A62EC">
      <w:start w:val="1"/>
      <w:numFmt w:val="bullet"/>
      <w:lvlText w:val="•"/>
      <w:lvlJc w:val="left"/>
      <w:pPr>
        <w:ind w:left="4895" w:hanging="360"/>
      </w:pPr>
      <w:rPr>
        <w:rFonts w:hint="default"/>
      </w:rPr>
    </w:lvl>
    <w:lvl w:ilvl="5" w:tplc="7CAEA3DC">
      <w:start w:val="1"/>
      <w:numFmt w:val="bullet"/>
      <w:lvlText w:val="•"/>
      <w:lvlJc w:val="left"/>
      <w:pPr>
        <w:ind w:left="5909" w:hanging="360"/>
      </w:pPr>
      <w:rPr>
        <w:rFonts w:hint="default"/>
      </w:rPr>
    </w:lvl>
    <w:lvl w:ilvl="6" w:tplc="A650E9A8">
      <w:start w:val="1"/>
      <w:numFmt w:val="bullet"/>
      <w:lvlText w:val="•"/>
      <w:lvlJc w:val="left"/>
      <w:pPr>
        <w:ind w:left="6923" w:hanging="360"/>
      </w:pPr>
      <w:rPr>
        <w:rFonts w:hint="default"/>
      </w:rPr>
    </w:lvl>
    <w:lvl w:ilvl="7" w:tplc="845C2D84">
      <w:start w:val="1"/>
      <w:numFmt w:val="bullet"/>
      <w:lvlText w:val="•"/>
      <w:lvlJc w:val="left"/>
      <w:pPr>
        <w:ind w:left="7937" w:hanging="360"/>
      </w:pPr>
      <w:rPr>
        <w:rFonts w:hint="default"/>
      </w:rPr>
    </w:lvl>
    <w:lvl w:ilvl="8" w:tplc="7DF25050">
      <w:start w:val="1"/>
      <w:numFmt w:val="bullet"/>
      <w:lvlText w:val="•"/>
      <w:lvlJc w:val="left"/>
      <w:pPr>
        <w:ind w:left="8951" w:hanging="360"/>
      </w:pPr>
      <w:rPr>
        <w:rFonts w:hint="default"/>
      </w:rPr>
    </w:lvl>
  </w:abstractNum>
  <w:abstractNum w:abstractNumId="5" w15:restartNumberingAfterBreak="0">
    <w:nsid w:val="7F0366C2"/>
    <w:multiLevelType w:val="hybridMultilevel"/>
    <w:tmpl w:val="DB3C0D8C"/>
    <w:lvl w:ilvl="0" w:tplc="36560E6C">
      <w:start w:val="1"/>
      <w:numFmt w:val="bullet"/>
      <w:lvlText w:val=""/>
      <w:lvlJc w:val="left"/>
      <w:pPr>
        <w:ind w:left="858" w:hanging="360"/>
      </w:pPr>
      <w:rPr>
        <w:rFonts w:ascii="Symbol" w:eastAsia="Symbol" w:hAnsi="Symbol" w:hint="default"/>
        <w:sz w:val="20"/>
        <w:szCs w:val="20"/>
      </w:rPr>
    </w:lvl>
    <w:lvl w:ilvl="1" w:tplc="942CCA7E">
      <w:start w:val="1"/>
      <w:numFmt w:val="bullet"/>
      <w:lvlText w:val="•"/>
      <w:lvlJc w:val="left"/>
      <w:pPr>
        <w:ind w:left="1880" w:hanging="360"/>
      </w:pPr>
      <w:rPr>
        <w:rFonts w:hint="default"/>
      </w:rPr>
    </w:lvl>
    <w:lvl w:ilvl="2" w:tplc="D2769360">
      <w:start w:val="1"/>
      <w:numFmt w:val="bullet"/>
      <w:lvlText w:val="•"/>
      <w:lvlJc w:val="left"/>
      <w:pPr>
        <w:ind w:left="2903" w:hanging="360"/>
      </w:pPr>
      <w:rPr>
        <w:rFonts w:hint="default"/>
      </w:rPr>
    </w:lvl>
    <w:lvl w:ilvl="3" w:tplc="3CD40A68">
      <w:start w:val="1"/>
      <w:numFmt w:val="bullet"/>
      <w:lvlText w:val="•"/>
      <w:lvlJc w:val="left"/>
      <w:pPr>
        <w:ind w:left="3925" w:hanging="360"/>
      </w:pPr>
      <w:rPr>
        <w:rFonts w:hint="default"/>
      </w:rPr>
    </w:lvl>
    <w:lvl w:ilvl="4" w:tplc="99BA1E0A">
      <w:start w:val="1"/>
      <w:numFmt w:val="bullet"/>
      <w:lvlText w:val="•"/>
      <w:lvlJc w:val="left"/>
      <w:pPr>
        <w:ind w:left="4947" w:hanging="360"/>
      </w:pPr>
      <w:rPr>
        <w:rFonts w:hint="default"/>
      </w:rPr>
    </w:lvl>
    <w:lvl w:ilvl="5" w:tplc="D3E0CAB0">
      <w:start w:val="1"/>
      <w:numFmt w:val="bullet"/>
      <w:lvlText w:val="•"/>
      <w:lvlJc w:val="left"/>
      <w:pPr>
        <w:ind w:left="5969" w:hanging="360"/>
      </w:pPr>
      <w:rPr>
        <w:rFonts w:hint="default"/>
      </w:rPr>
    </w:lvl>
    <w:lvl w:ilvl="6" w:tplc="5AB4225C">
      <w:start w:val="1"/>
      <w:numFmt w:val="bullet"/>
      <w:lvlText w:val="•"/>
      <w:lvlJc w:val="left"/>
      <w:pPr>
        <w:ind w:left="6991" w:hanging="360"/>
      </w:pPr>
      <w:rPr>
        <w:rFonts w:hint="default"/>
      </w:rPr>
    </w:lvl>
    <w:lvl w:ilvl="7" w:tplc="AABEBBAA">
      <w:start w:val="1"/>
      <w:numFmt w:val="bullet"/>
      <w:lvlText w:val="•"/>
      <w:lvlJc w:val="left"/>
      <w:pPr>
        <w:ind w:left="8013" w:hanging="360"/>
      </w:pPr>
      <w:rPr>
        <w:rFonts w:hint="default"/>
      </w:rPr>
    </w:lvl>
    <w:lvl w:ilvl="8" w:tplc="D786D838">
      <w:start w:val="1"/>
      <w:numFmt w:val="bullet"/>
      <w:lvlText w:val="•"/>
      <w:lvlJc w:val="left"/>
      <w:pPr>
        <w:ind w:left="9035" w:hanging="360"/>
      </w:pPr>
      <w:rPr>
        <w:rFonts w:hint="default"/>
      </w:rPr>
    </w:lvl>
  </w:abstractNum>
  <w:num w:numId="1" w16cid:durableId="1429623621">
    <w:abstractNumId w:val="5"/>
  </w:num>
  <w:num w:numId="2" w16cid:durableId="132988366">
    <w:abstractNumId w:val="4"/>
  </w:num>
  <w:num w:numId="3" w16cid:durableId="1141189280">
    <w:abstractNumId w:val="3"/>
  </w:num>
  <w:num w:numId="4" w16cid:durableId="1236672244">
    <w:abstractNumId w:val="2"/>
  </w:num>
  <w:num w:numId="5" w16cid:durableId="1261790347">
    <w:abstractNumId w:val="1"/>
  </w:num>
  <w:num w:numId="6" w16cid:durableId="249165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C7B"/>
    <w:rsid w:val="00026757"/>
    <w:rsid w:val="000C4763"/>
    <w:rsid w:val="000D589E"/>
    <w:rsid w:val="001171E7"/>
    <w:rsid w:val="001D5A71"/>
    <w:rsid w:val="0024327D"/>
    <w:rsid w:val="00327317"/>
    <w:rsid w:val="003339EE"/>
    <w:rsid w:val="003F0605"/>
    <w:rsid w:val="004126D2"/>
    <w:rsid w:val="00452098"/>
    <w:rsid w:val="004B2206"/>
    <w:rsid w:val="005841DF"/>
    <w:rsid w:val="00651C37"/>
    <w:rsid w:val="0069500A"/>
    <w:rsid w:val="0075046B"/>
    <w:rsid w:val="007C500A"/>
    <w:rsid w:val="008011CB"/>
    <w:rsid w:val="00867F79"/>
    <w:rsid w:val="008A7C2C"/>
    <w:rsid w:val="008B2C9F"/>
    <w:rsid w:val="00965AB6"/>
    <w:rsid w:val="0098163B"/>
    <w:rsid w:val="00A01D76"/>
    <w:rsid w:val="00A3053B"/>
    <w:rsid w:val="00A86263"/>
    <w:rsid w:val="00AE702F"/>
    <w:rsid w:val="00AF6AF5"/>
    <w:rsid w:val="00B16C2C"/>
    <w:rsid w:val="00B531DF"/>
    <w:rsid w:val="00B721A2"/>
    <w:rsid w:val="00BF39A6"/>
    <w:rsid w:val="00C82498"/>
    <w:rsid w:val="00C97394"/>
    <w:rsid w:val="00D862F6"/>
    <w:rsid w:val="00DD12C8"/>
    <w:rsid w:val="00E21C7B"/>
    <w:rsid w:val="00E9498E"/>
    <w:rsid w:val="00F41FEA"/>
    <w:rsid w:val="00FA6478"/>
    <w:rsid w:val="00FB434F"/>
    <w:rsid w:val="00FC0F6E"/>
    <w:rsid w:val="00FC2CF2"/>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A3448"/>
  <w15:docId w15:val="{1F2A16E1-4DE1-42AE-96B9-94C279F9F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419"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840" w:hanging="360"/>
      <w:outlineLvl w:val="0"/>
    </w:pPr>
    <w:rPr>
      <w:rFonts w:ascii="Arial" w:eastAsia="Arial" w:hAnsi="Arial"/>
      <w:sz w:val="24"/>
      <w:szCs w:val="24"/>
    </w:rPr>
  </w:style>
  <w:style w:type="paragraph" w:styleId="Heading2">
    <w:name w:val="heading 2"/>
    <w:basedOn w:val="Normal"/>
    <w:uiPriority w:val="9"/>
    <w:unhideWhenUsed/>
    <w:qFormat/>
    <w:pPr>
      <w:ind w:left="120"/>
      <w:outlineLvl w:val="1"/>
    </w:pPr>
    <w:rPr>
      <w:rFonts w:ascii="Arial" w:eastAsia="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38" w:hanging="360"/>
    </w:pPr>
    <w:rPr>
      <w:rFonts w:ascii="Arial" w:eastAsia="Arial" w:hAnsi="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F39A6"/>
    <w:rPr>
      <w:sz w:val="16"/>
      <w:szCs w:val="16"/>
    </w:rPr>
  </w:style>
  <w:style w:type="paragraph" w:styleId="CommentText">
    <w:name w:val="annotation text"/>
    <w:basedOn w:val="Normal"/>
    <w:link w:val="CommentTextChar"/>
    <w:uiPriority w:val="99"/>
    <w:unhideWhenUsed/>
    <w:rsid w:val="00BF39A6"/>
    <w:rPr>
      <w:sz w:val="20"/>
      <w:szCs w:val="20"/>
    </w:rPr>
  </w:style>
  <w:style w:type="character" w:customStyle="1" w:styleId="CommentTextChar">
    <w:name w:val="Comment Text Char"/>
    <w:basedOn w:val="DefaultParagraphFont"/>
    <w:link w:val="CommentText"/>
    <w:uiPriority w:val="99"/>
    <w:rsid w:val="00BF39A6"/>
    <w:rPr>
      <w:sz w:val="20"/>
      <w:szCs w:val="20"/>
    </w:rPr>
  </w:style>
  <w:style w:type="paragraph" w:styleId="CommentSubject">
    <w:name w:val="annotation subject"/>
    <w:basedOn w:val="CommentText"/>
    <w:next w:val="CommentText"/>
    <w:link w:val="CommentSubjectChar"/>
    <w:uiPriority w:val="99"/>
    <w:semiHidden/>
    <w:unhideWhenUsed/>
    <w:rsid w:val="00BF39A6"/>
    <w:rPr>
      <w:b/>
      <w:bCs/>
    </w:rPr>
  </w:style>
  <w:style w:type="character" w:customStyle="1" w:styleId="CommentSubjectChar">
    <w:name w:val="Comment Subject Char"/>
    <w:basedOn w:val="CommentTextChar"/>
    <w:link w:val="CommentSubject"/>
    <w:uiPriority w:val="99"/>
    <w:semiHidden/>
    <w:rsid w:val="00BF39A6"/>
    <w:rPr>
      <w:b/>
      <w:bCs/>
      <w:sz w:val="20"/>
      <w:szCs w:val="20"/>
    </w:rPr>
  </w:style>
  <w:style w:type="character" w:styleId="Hyperlink">
    <w:name w:val="Hyperlink"/>
    <w:basedOn w:val="DefaultParagraphFont"/>
    <w:uiPriority w:val="99"/>
    <w:unhideWhenUsed/>
    <w:rsid w:val="00026757"/>
    <w:rPr>
      <w:color w:val="0000FF" w:themeColor="hyperlink"/>
      <w:u w:val="single"/>
    </w:rPr>
  </w:style>
  <w:style w:type="paragraph" w:styleId="Revision">
    <w:name w:val="Revision"/>
    <w:hidden/>
    <w:uiPriority w:val="99"/>
    <w:semiHidden/>
    <w:rsid w:val="00FC2CF2"/>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61044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roducts.sanofi.us/rezurock/rezurock.pdf" TargetMode="External"/><Relationship Id="rId3" Type="http://schemas.openxmlformats.org/officeDocument/2006/relationships/styles" Target="styles.xml"/><Relationship Id="rId7" Type="http://schemas.openxmlformats.org/officeDocument/2006/relationships/hyperlink" Target="https://products.sanofi.us/rezurock/rezurock_espano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roducts.sanofi.us/rezurock/rezurock.pdf"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roducts.sanofi.us/rezurock/rezurock_espano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C9718A-FB7A-4B05-B5D4-7DF6D963798D}">
  <ds:schemaRefs>
    <ds:schemaRef ds:uri="http://schemas.openxmlformats.org/officeDocument/2006/bibliography"/>
  </ds:schemaRefs>
</ds:datastoreItem>
</file>

<file path=docMetadata/LabelInfo.xml><?xml version="1.0" encoding="utf-8"?>
<clbl:labelList xmlns:clbl="http://schemas.microsoft.com/office/2020/mipLabelMetadata">
  <clbl:label id="{d026e4c1-5892-497a-b9da-ee493c9f0364}" enabled="0" method="" siteId="{d026e4c1-5892-497a-b9da-ee493c9f0364}"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1386</Words>
  <Characters>7905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Putnam, Jordan (NYC-FHC)</cp:lastModifiedBy>
  <cp:revision>2</cp:revision>
  <dcterms:created xsi:type="dcterms:W3CDTF">2024-06-21T13:53:00Z</dcterms:created>
  <dcterms:modified xsi:type="dcterms:W3CDTF">2024-06-21T13:53:00Z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2022-04-08T00:00:00Z</vt:filetime>
  </property>
  <property fmtid="{D5CDD505-2E9C-101B-9397-08002B2CF9AE}" pid="3" name="LastSaved">
    <vt:filetime>2023-11-17T00:00:00Z</vt:filetime>
  </property>
</Properties>
</file>